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新乡市</w:t>
      </w:r>
      <w:r>
        <w:rPr>
          <w:rFonts w:hint="eastAsia" w:ascii="方正小标宋简体" w:hAnsi="方正小标宋简体" w:eastAsia="方正小标宋简体" w:cs="方正小标宋简体"/>
          <w:sz w:val="44"/>
          <w:szCs w:val="44"/>
          <w:lang w:eastAsia="zh-CN"/>
        </w:rPr>
        <w:t>粮食和物资储备局</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2022年度单位预算</w:t>
      </w: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CESI黑体-GB2312" w:hAnsi="CESI黑体-GB2312" w:eastAsia="CESI黑体-GB2312" w:cs="CESI黑体-GB2312"/>
          <w:sz w:val="36"/>
          <w:szCs w:val="36"/>
          <w:lang w:val="en-US" w:eastAsia="zh-CN"/>
        </w:rPr>
      </w:pPr>
    </w:p>
    <w:p>
      <w:pPr>
        <w:jc w:val="center"/>
        <w:rPr>
          <w:rFonts w:hint="eastAsia" w:ascii="方正小标宋简体" w:hAnsi="方正小标宋简体" w:eastAsia="方正小标宋简体" w:cs="方正小标宋简体"/>
          <w:sz w:val="44"/>
          <w:szCs w:val="44"/>
          <w:lang w:val="en" w:eastAsia="zh-CN"/>
        </w:rPr>
      </w:pPr>
      <w:r>
        <w:rPr>
          <w:rFonts w:hint="eastAsia" w:ascii="方正小标宋简体" w:hAnsi="方正小标宋简体" w:eastAsia="方正小标宋简体" w:cs="方正小标宋简体"/>
          <w:sz w:val="44"/>
          <w:szCs w:val="44"/>
          <w:lang w:val="en" w:eastAsia="zh-CN"/>
        </w:rPr>
        <w:t>二〇二二年四月</w:t>
      </w:r>
    </w:p>
    <w:p>
      <w:pPr>
        <w:adjustRightInd w:val="0"/>
        <w:snapToGrid w:val="0"/>
        <w:spacing w:line="360" w:lineRule="auto"/>
        <w:jc w:val="center"/>
        <w:rPr>
          <w:rFonts w:hint="eastAsia" w:ascii="方正小标宋简体" w:hAnsi="Times New Roman" w:eastAsia="方正小标宋简体"/>
          <w:sz w:val="36"/>
          <w:szCs w:val="36"/>
        </w:rPr>
        <w:sectPr>
          <w:pgSz w:w="11906" w:h="16838"/>
          <w:pgMar w:top="1440" w:right="1800" w:bottom="1440" w:left="1800" w:header="851" w:footer="992" w:gutter="0"/>
          <w:cols w:space="720" w:num="1"/>
          <w:docGrid w:type="lines" w:linePitch="312" w:charSpace="0"/>
        </w:sectPr>
      </w:pPr>
    </w:p>
    <w:p>
      <w:pPr>
        <w:kinsoku w:val="0"/>
        <w:overflowPunct w:val="0"/>
        <w:adjustRightInd w:val="0"/>
        <w:snapToGrid w:val="0"/>
        <w:spacing w:line="360" w:lineRule="auto"/>
        <w:ind w:left="101" w:right="3569" w:firstLine="640" w:firstLineChars="200"/>
        <w:rPr>
          <w:rFonts w:ascii="仿宋_GB2312" w:hAnsi="Times New Roman" w:eastAsia="仿宋_GB2312"/>
          <w:sz w:val="32"/>
          <w:szCs w:val="32"/>
        </w:rPr>
      </w:pPr>
    </w:p>
    <w:p>
      <w:pPr>
        <w:kinsoku w:val="0"/>
        <w:overflowPunct w:val="0"/>
        <w:adjustRightInd w:val="0"/>
        <w:snapToGrid w:val="0"/>
        <w:spacing w:line="360" w:lineRule="auto"/>
        <w:ind w:left="-142" w:right="51" w:firstLine="39" w:firstLineChars="7"/>
        <w:jc w:val="center"/>
        <w:rPr>
          <w:rFonts w:ascii="黑体" w:hAnsi="Times New Roman" w:eastAsia="黑体" w:cs="黑体"/>
          <w:sz w:val="56"/>
          <w:szCs w:val="56"/>
        </w:rPr>
      </w:pPr>
      <w:r>
        <w:rPr>
          <w:rFonts w:hint="eastAsia" w:ascii="黑体" w:hAnsi="Times New Roman" w:eastAsia="黑体" w:cs="黑体"/>
          <w:sz w:val="56"/>
          <w:szCs w:val="56"/>
        </w:rPr>
        <w:t>目</w:t>
      </w:r>
      <w:r>
        <w:rPr>
          <w:rFonts w:ascii="黑体" w:hAnsi="Times New Roman" w:eastAsia="黑体" w:cs="黑体"/>
          <w:spacing w:val="2"/>
          <w:sz w:val="56"/>
          <w:szCs w:val="56"/>
        </w:rPr>
        <w:t xml:space="preserve"> </w:t>
      </w:r>
      <w:r>
        <w:rPr>
          <w:rFonts w:hint="eastAsia" w:ascii="黑体" w:hAnsi="Times New Roman" w:eastAsia="黑体" w:cs="黑体"/>
          <w:sz w:val="56"/>
          <w:szCs w:val="56"/>
        </w:rPr>
        <w:t>录</w:t>
      </w:r>
    </w:p>
    <w:p>
      <w:pPr>
        <w:kinsoku w:val="0"/>
        <w:overflowPunct w:val="0"/>
        <w:adjustRightInd w:val="0"/>
        <w:snapToGrid w:val="0"/>
        <w:spacing w:line="360" w:lineRule="auto"/>
        <w:ind w:right="3569" w:firstLine="640" w:firstLineChars="200"/>
        <w:rPr>
          <w:rFonts w:ascii="黑体" w:hAnsi="Times New Roman" w:eastAsia="黑体" w:cs="黑体"/>
          <w:w w:val="99"/>
          <w:sz w:val="32"/>
          <w:szCs w:val="32"/>
        </w:rPr>
      </w:pPr>
      <w:r>
        <w:rPr>
          <w:rFonts w:hint="eastAsia" w:ascii="黑体" w:hAnsi="Times New Roman" w:eastAsia="黑体" w:cs="黑体"/>
          <w:sz w:val="32"/>
          <w:szCs w:val="32"/>
        </w:rPr>
        <w:t>第一部分</w:t>
      </w:r>
      <w:r>
        <w:rPr>
          <w:rFonts w:ascii="黑体" w:hAnsi="Times New Roman" w:eastAsia="黑体" w:cs="黑体"/>
          <w:sz w:val="32"/>
          <w:szCs w:val="32"/>
        </w:rPr>
        <w:t xml:space="preserve"> </w:t>
      </w:r>
      <w:r>
        <w:rPr>
          <w:rFonts w:hint="eastAsia" w:ascii="黑体" w:hAnsi="Times New Roman" w:eastAsia="黑体" w:cs="黑体"/>
          <w:sz w:val="32"/>
          <w:szCs w:val="32"/>
        </w:rPr>
        <w:t>概况</w:t>
      </w:r>
      <w:r>
        <w:rPr>
          <w:rFonts w:ascii="黑体" w:hAnsi="Times New Roman" w:eastAsia="黑体" w:cs="黑体"/>
          <w:w w:val="99"/>
          <w:sz w:val="32"/>
          <w:szCs w:val="32"/>
        </w:rPr>
        <w:t xml:space="preserve"> </w:t>
      </w:r>
    </w:p>
    <w:p>
      <w:pPr>
        <w:kinsoku w:val="0"/>
        <w:overflowPunct w:val="0"/>
        <w:adjustRightInd w:val="0"/>
        <w:snapToGrid w:val="0"/>
        <w:spacing w:line="360" w:lineRule="auto"/>
        <w:ind w:right="3569" w:firstLine="960" w:firstLineChars="300"/>
        <w:jc w:val="left"/>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主要职责</w:t>
      </w:r>
    </w:p>
    <w:p>
      <w:pPr>
        <w:kinsoku w:val="0"/>
        <w:overflowPunct w:val="0"/>
        <w:adjustRightInd w:val="0"/>
        <w:snapToGrid w:val="0"/>
        <w:spacing w:line="360" w:lineRule="auto"/>
        <w:ind w:right="521" w:firstLine="640" w:firstLineChars="200"/>
        <w:rPr>
          <w:rFonts w:ascii="黑体" w:hAnsi="Times New Roman" w:eastAsia="黑体" w:cs="黑体"/>
          <w:w w:val="99"/>
          <w:sz w:val="32"/>
          <w:szCs w:val="32"/>
        </w:rPr>
      </w:pPr>
      <w:r>
        <w:rPr>
          <w:rFonts w:hint="eastAsia" w:ascii="黑体" w:hAnsi="Times New Roman" w:eastAsia="黑体" w:cs="黑体"/>
          <w:sz w:val="32"/>
          <w:szCs w:val="32"/>
        </w:rPr>
        <w:t>第二部分</w:t>
      </w:r>
      <w:r>
        <w:rPr>
          <w:rFonts w:ascii="黑体" w:hAnsi="Times New Roman" w:eastAsia="黑体" w:cs="黑体"/>
          <w:spacing w:val="-38"/>
          <w:sz w:val="32"/>
          <w:szCs w:val="32"/>
        </w:rPr>
        <w:t xml:space="preserve"> </w:t>
      </w:r>
      <w:r>
        <w:rPr>
          <w:rFonts w:hint="eastAsia" w:ascii="黑体" w:hAnsi="黑体" w:eastAsia="黑体"/>
          <w:sz w:val="32"/>
          <w:szCs w:val="32"/>
          <w:lang w:eastAsia="zh-CN"/>
        </w:rPr>
        <w:t>新乡市粮食和物资储备局</w:t>
      </w:r>
      <w:r>
        <w:rPr>
          <w:rFonts w:ascii="黑体" w:hAnsi="Times New Roman" w:eastAsia="黑体" w:cs="黑体"/>
          <w:sz w:val="32"/>
          <w:szCs w:val="32"/>
        </w:rPr>
        <w:t>2022</w:t>
      </w:r>
      <w:r>
        <w:rPr>
          <w:rFonts w:hint="eastAsia" w:ascii="黑体" w:hAnsi="Times New Roman" w:eastAsia="黑体" w:cs="黑体"/>
          <w:sz w:val="32"/>
          <w:szCs w:val="32"/>
          <w:lang w:eastAsia="zh-CN"/>
        </w:rPr>
        <w:t>年度</w:t>
      </w:r>
      <w:r>
        <w:rPr>
          <w:rFonts w:hint="eastAsia" w:ascii="黑体" w:hAnsi="Times New Roman" w:eastAsia="黑体" w:cs="黑体"/>
          <w:sz w:val="32"/>
          <w:szCs w:val="32"/>
        </w:rPr>
        <w:t>预算情况说明</w:t>
      </w:r>
      <w:r>
        <w:rPr>
          <w:rFonts w:ascii="黑体" w:hAnsi="Times New Roman" w:eastAsia="黑体" w:cs="黑体"/>
          <w:w w:val="99"/>
          <w:sz w:val="32"/>
          <w:szCs w:val="32"/>
        </w:rPr>
        <w:t xml:space="preserve"> </w:t>
      </w:r>
    </w:p>
    <w:p>
      <w:pPr>
        <w:kinsoku w:val="0"/>
        <w:overflowPunct w:val="0"/>
        <w:adjustRightInd w:val="0"/>
        <w:snapToGrid w:val="0"/>
        <w:spacing w:line="360" w:lineRule="auto"/>
        <w:ind w:right="521" w:firstLine="640" w:firstLineChars="200"/>
        <w:rPr>
          <w:rFonts w:ascii="黑体" w:hAnsi="Times New Roman" w:eastAsia="黑体" w:cs="黑体"/>
          <w:sz w:val="32"/>
          <w:szCs w:val="32"/>
        </w:rPr>
      </w:pPr>
      <w:r>
        <w:rPr>
          <w:rFonts w:hint="eastAsia" w:ascii="黑体" w:hAnsi="Times New Roman" w:eastAsia="黑体" w:cs="黑体"/>
          <w:sz w:val="32"/>
          <w:szCs w:val="32"/>
        </w:rPr>
        <w:t>第三部分</w:t>
      </w:r>
      <w:r>
        <w:rPr>
          <w:rFonts w:ascii="黑体" w:hAnsi="Times New Roman" w:eastAsia="黑体" w:cs="黑体"/>
          <w:spacing w:val="-32"/>
          <w:sz w:val="32"/>
          <w:szCs w:val="32"/>
        </w:rPr>
        <w:t xml:space="preserve"> </w:t>
      </w:r>
      <w:r>
        <w:rPr>
          <w:rFonts w:hint="eastAsia" w:ascii="黑体" w:hAnsi="Times New Roman" w:eastAsia="黑体" w:cs="黑体"/>
          <w:sz w:val="32"/>
          <w:szCs w:val="32"/>
        </w:rPr>
        <w:t>名词解释</w:t>
      </w:r>
    </w:p>
    <w:p>
      <w:pPr>
        <w:kinsoku w:val="0"/>
        <w:overflowPunct w:val="0"/>
        <w:adjustRightInd w:val="0"/>
        <w:snapToGrid w:val="0"/>
        <w:spacing w:line="360" w:lineRule="auto"/>
        <w:ind w:firstLine="640" w:firstLineChars="200"/>
        <w:rPr>
          <w:rFonts w:ascii="黑体" w:hAnsi="Times New Roman" w:eastAsia="黑体" w:cs="黑体"/>
          <w:sz w:val="32"/>
          <w:szCs w:val="32"/>
        </w:rPr>
      </w:pPr>
      <w:r>
        <w:rPr>
          <w:rFonts w:hint="eastAsia" w:ascii="黑体" w:hAnsi="Times New Roman" w:eastAsia="黑体" w:cs="黑体"/>
          <w:sz w:val="32"/>
          <w:szCs w:val="32"/>
        </w:rPr>
        <w:t>附件：</w:t>
      </w:r>
      <w:r>
        <w:rPr>
          <w:rFonts w:ascii="黑体" w:hAnsi="Times New Roman" w:eastAsia="黑体" w:cs="黑体"/>
          <w:spacing w:val="-32"/>
          <w:sz w:val="32"/>
          <w:szCs w:val="32"/>
        </w:rPr>
        <w:t xml:space="preserve"> </w:t>
      </w:r>
      <w:r>
        <w:rPr>
          <w:rFonts w:hint="eastAsia" w:ascii="黑体" w:hAnsi="黑体" w:eastAsia="黑体"/>
          <w:sz w:val="32"/>
          <w:szCs w:val="32"/>
          <w:lang w:eastAsia="zh-CN"/>
        </w:rPr>
        <w:t>新乡市粮食和物资储备局</w:t>
      </w:r>
      <w:r>
        <w:rPr>
          <w:rFonts w:hint="eastAsia" w:ascii="黑体" w:hAnsi="Times New Roman" w:eastAsia="黑体" w:cs="黑体"/>
          <w:sz w:val="32"/>
          <w:szCs w:val="32"/>
        </w:rPr>
        <w:t>20</w:t>
      </w:r>
      <w:r>
        <w:rPr>
          <w:rFonts w:ascii="黑体" w:hAnsi="Times New Roman" w:eastAsia="黑体" w:cs="黑体"/>
          <w:sz w:val="32"/>
          <w:szCs w:val="32"/>
        </w:rPr>
        <w:t>22</w:t>
      </w:r>
      <w:r>
        <w:rPr>
          <w:rFonts w:hint="eastAsia" w:ascii="黑体" w:hAnsi="Times New Roman" w:eastAsia="黑体" w:cs="黑体"/>
          <w:sz w:val="32"/>
          <w:szCs w:val="32"/>
        </w:rPr>
        <w:t>年</w:t>
      </w:r>
      <w:r>
        <w:rPr>
          <w:rFonts w:hint="eastAsia" w:ascii="黑体" w:hAnsi="Times New Roman" w:eastAsia="黑体" w:cs="黑体"/>
          <w:sz w:val="32"/>
          <w:szCs w:val="32"/>
          <w:lang w:eastAsia="zh-CN"/>
        </w:rPr>
        <w:t>度</w:t>
      </w:r>
      <w:r>
        <w:rPr>
          <w:rFonts w:hint="eastAsia" w:ascii="黑体" w:hAnsi="Times New Roman" w:eastAsia="黑体" w:cs="黑体"/>
          <w:sz w:val="32"/>
          <w:szCs w:val="32"/>
        </w:rPr>
        <w:t>预算表</w:t>
      </w:r>
    </w:p>
    <w:p>
      <w:pPr>
        <w:kinsoku w:val="0"/>
        <w:overflowPunct w:val="0"/>
        <w:adjustRightInd w:val="0"/>
        <w:snapToGrid w:val="0"/>
        <w:spacing w:line="360" w:lineRule="auto"/>
        <w:ind w:right="51" w:firstLine="960" w:firstLineChars="300"/>
        <w:jc w:val="left"/>
        <w:rPr>
          <w:rFonts w:ascii="仿宋_GB2312" w:hAnsi="Times New Roman" w:eastAsia="仿宋_GB2312" w:cs="仿宋_GB2312"/>
          <w:sz w:val="32"/>
          <w:szCs w:val="32"/>
        </w:rPr>
      </w:pPr>
      <w:r>
        <w:rPr>
          <w:rFonts w:hint="eastAsia" w:ascii="仿宋_GB2312" w:hAnsi="Times New Roman" w:eastAsia="仿宋_GB2312" w:cs="仿宋_GB2312"/>
          <w:sz w:val="32"/>
          <w:szCs w:val="32"/>
        </w:rPr>
        <w:t>一、</w:t>
      </w:r>
      <w:r>
        <w:rPr>
          <w:rFonts w:hint="eastAsia" w:ascii="仿宋_GB2312" w:hAnsi="Times New Roman" w:eastAsia="仿宋_GB2312" w:cs="仿宋_GB2312"/>
          <w:sz w:val="32"/>
          <w:szCs w:val="32"/>
          <w:lang w:eastAsia="zh-CN"/>
        </w:rPr>
        <w:t>单位</w:t>
      </w:r>
      <w:r>
        <w:rPr>
          <w:rFonts w:hint="eastAsia" w:ascii="仿宋_GB2312" w:eastAsia="仿宋_GB2312"/>
          <w:sz w:val="32"/>
          <w:szCs w:val="32"/>
        </w:rPr>
        <w:t>收支</w:t>
      </w:r>
      <w:r>
        <w:rPr>
          <w:rFonts w:hint="eastAsia" w:ascii="仿宋_GB2312" w:eastAsia="仿宋_GB2312"/>
          <w:sz w:val="32"/>
          <w:szCs w:val="32"/>
          <w:lang w:eastAsia="zh-CN"/>
        </w:rPr>
        <w:t>预算</w:t>
      </w:r>
      <w:r>
        <w:rPr>
          <w:rFonts w:hint="eastAsia" w:ascii="仿宋_GB2312" w:eastAsia="仿宋_GB2312"/>
          <w:sz w:val="32"/>
          <w:szCs w:val="32"/>
        </w:rPr>
        <w:t>表</w:t>
      </w:r>
    </w:p>
    <w:p>
      <w:pPr>
        <w:kinsoku w:val="0"/>
        <w:overflowPunct w:val="0"/>
        <w:adjustRightInd w:val="0"/>
        <w:snapToGrid w:val="0"/>
        <w:spacing w:line="360" w:lineRule="auto"/>
        <w:ind w:right="51" w:firstLine="960" w:firstLineChars="300"/>
        <w:jc w:val="left"/>
        <w:rPr>
          <w:rFonts w:ascii="仿宋_GB2312" w:hAnsi="Times New Roman" w:eastAsia="仿宋_GB2312" w:cs="仿宋_GB2312"/>
          <w:sz w:val="32"/>
          <w:szCs w:val="32"/>
        </w:rPr>
      </w:pPr>
      <w:r>
        <w:rPr>
          <w:rFonts w:hint="eastAsia" w:ascii="仿宋_GB2312" w:hAnsi="Times New Roman" w:eastAsia="仿宋_GB2312" w:cs="仿宋_GB2312"/>
          <w:sz w:val="32"/>
          <w:szCs w:val="32"/>
        </w:rPr>
        <w:t>二、</w:t>
      </w:r>
      <w:r>
        <w:rPr>
          <w:rFonts w:hint="eastAsia" w:ascii="仿宋_GB2312" w:hAnsi="Times New Roman" w:eastAsia="仿宋_GB2312" w:cs="仿宋_GB2312"/>
          <w:sz w:val="32"/>
          <w:szCs w:val="32"/>
          <w:lang w:eastAsia="zh-CN"/>
        </w:rPr>
        <w:t>单位</w:t>
      </w:r>
      <w:r>
        <w:rPr>
          <w:rFonts w:hint="eastAsia" w:ascii="仿宋_GB2312" w:eastAsia="仿宋_GB2312"/>
          <w:sz w:val="32"/>
          <w:szCs w:val="32"/>
        </w:rPr>
        <w:t>收入</w:t>
      </w:r>
      <w:r>
        <w:rPr>
          <w:rFonts w:hint="eastAsia" w:ascii="仿宋_GB2312" w:eastAsia="仿宋_GB2312"/>
          <w:sz w:val="32"/>
          <w:szCs w:val="32"/>
          <w:lang w:eastAsia="zh-CN"/>
        </w:rPr>
        <w:t>预算</w:t>
      </w:r>
      <w:r>
        <w:rPr>
          <w:rFonts w:hint="eastAsia" w:ascii="仿宋_GB2312" w:eastAsia="仿宋_GB2312"/>
          <w:sz w:val="32"/>
          <w:szCs w:val="32"/>
        </w:rPr>
        <w:t>表</w:t>
      </w:r>
    </w:p>
    <w:p>
      <w:pPr>
        <w:kinsoku w:val="0"/>
        <w:overflowPunct w:val="0"/>
        <w:adjustRightInd w:val="0"/>
        <w:snapToGrid w:val="0"/>
        <w:spacing w:line="360" w:lineRule="auto"/>
        <w:ind w:right="51" w:firstLine="960" w:firstLineChars="300"/>
        <w:jc w:val="left"/>
        <w:rPr>
          <w:rFonts w:hint="eastAsia" w:ascii="仿宋_GB2312" w:eastAsia="仿宋_GB2312"/>
          <w:sz w:val="32"/>
          <w:szCs w:val="32"/>
        </w:rPr>
      </w:pPr>
      <w:r>
        <w:rPr>
          <w:rFonts w:hint="eastAsia" w:ascii="仿宋_GB2312" w:hAnsi="Times New Roman" w:eastAsia="仿宋_GB2312" w:cs="仿宋_GB2312"/>
          <w:sz w:val="32"/>
          <w:szCs w:val="32"/>
        </w:rPr>
        <w:t>三、</w:t>
      </w:r>
      <w:r>
        <w:rPr>
          <w:rFonts w:hint="eastAsia" w:ascii="仿宋_GB2312" w:hAnsi="Times New Roman" w:eastAsia="仿宋_GB2312" w:cs="仿宋_GB2312"/>
          <w:sz w:val="32"/>
          <w:szCs w:val="32"/>
          <w:lang w:eastAsia="zh-CN"/>
        </w:rPr>
        <w:t>单位</w:t>
      </w:r>
      <w:r>
        <w:rPr>
          <w:rFonts w:hint="eastAsia" w:ascii="仿宋_GB2312" w:eastAsia="仿宋_GB2312"/>
          <w:sz w:val="32"/>
          <w:szCs w:val="32"/>
        </w:rPr>
        <w:t>支出</w:t>
      </w:r>
      <w:r>
        <w:rPr>
          <w:rFonts w:hint="eastAsia" w:ascii="仿宋_GB2312" w:eastAsia="仿宋_GB2312"/>
          <w:sz w:val="32"/>
          <w:szCs w:val="32"/>
          <w:lang w:eastAsia="zh-CN"/>
        </w:rPr>
        <w:t>预算</w:t>
      </w:r>
      <w:r>
        <w:rPr>
          <w:rFonts w:hint="eastAsia" w:ascii="仿宋_GB2312" w:eastAsia="仿宋_GB2312"/>
          <w:sz w:val="32"/>
          <w:szCs w:val="32"/>
        </w:rPr>
        <w:t>表</w:t>
      </w:r>
    </w:p>
    <w:p>
      <w:pPr>
        <w:kinsoku w:val="0"/>
        <w:overflowPunct w:val="0"/>
        <w:adjustRightInd w:val="0"/>
        <w:snapToGrid w:val="0"/>
        <w:spacing w:line="360" w:lineRule="auto"/>
        <w:ind w:right="51" w:firstLine="960" w:firstLineChars="300"/>
        <w:jc w:val="left"/>
        <w:rPr>
          <w:rFonts w:ascii="仿宋_GB2312" w:hAnsi="Times New Roman" w:eastAsia="仿宋_GB2312" w:cs="仿宋_GB2312"/>
          <w:sz w:val="32"/>
          <w:szCs w:val="32"/>
        </w:rPr>
      </w:pPr>
      <w:r>
        <w:rPr>
          <w:rFonts w:hint="eastAsia" w:ascii="仿宋_GB2312" w:hAnsi="Times New Roman" w:eastAsia="仿宋_GB2312" w:cs="仿宋_GB2312"/>
          <w:sz w:val="32"/>
          <w:szCs w:val="32"/>
        </w:rPr>
        <w:t>四、</w:t>
      </w:r>
      <w:r>
        <w:rPr>
          <w:rFonts w:hint="eastAsia" w:ascii="仿宋_GB2312" w:eastAsia="仿宋_GB2312"/>
          <w:sz w:val="32"/>
          <w:szCs w:val="32"/>
        </w:rPr>
        <w:t>财政拨款收支总体情况表</w:t>
      </w:r>
    </w:p>
    <w:p>
      <w:pPr>
        <w:kinsoku w:val="0"/>
        <w:overflowPunct w:val="0"/>
        <w:adjustRightInd w:val="0"/>
        <w:snapToGrid w:val="0"/>
        <w:spacing w:line="360" w:lineRule="auto"/>
        <w:ind w:right="51" w:firstLine="960" w:firstLineChars="300"/>
        <w:jc w:val="left"/>
        <w:rPr>
          <w:rFonts w:ascii="仿宋_GB2312" w:eastAsia="仿宋_GB2312"/>
          <w:sz w:val="32"/>
          <w:szCs w:val="32"/>
        </w:rPr>
      </w:pPr>
      <w:r>
        <w:rPr>
          <w:rFonts w:hint="eastAsia" w:ascii="仿宋_GB2312" w:hAnsi="Times New Roman" w:eastAsia="仿宋_GB2312" w:cs="仿宋_GB2312"/>
          <w:sz w:val="32"/>
          <w:szCs w:val="32"/>
        </w:rPr>
        <w:t>五、</w:t>
      </w:r>
      <w:r>
        <w:rPr>
          <w:rFonts w:hint="eastAsia" w:ascii="仿宋_GB2312" w:eastAsia="仿宋_GB2312"/>
          <w:sz w:val="32"/>
          <w:szCs w:val="32"/>
        </w:rPr>
        <w:t>一般公共预算支出</w:t>
      </w:r>
      <w:r>
        <w:rPr>
          <w:rFonts w:hint="eastAsia" w:ascii="仿宋_GB2312" w:eastAsia="仿宋_GB2312"/>
          <w:sz w:val="32"/>
          <w:szCs w:val="32"/>
          <w:lang w:eastAsia="zh-CN"/>
        </w:rPr>
        <w:t>预算</w:t>
      </w:r>
      <w:r>
        <w:rPr>
          <w:rFonts w:hint="eastAsia" w:ascii="仿宋_GB2312" w:eastAsia="仿宋_GB2312"/>
          <w:sz w:val="32"/>
          <w:szCs w:val="32"/>
        </w:rPr>
        <w:t>表</w:t>
      </w:r>
    </w:p>
    <w:p>
      <w:pPr>
        <w:kinsoku w:val="0"/>
        <w:overflowPunct w:val="0"/>
        <w:adjustRightInd w:val="0"/>
        <w:snapToGrid w:val="0"/>
        <w:spacing w:line="360" w:lineRule="auto"/>
        <w:ind w:right="51" w:firstLine="960" w:firstLineChars="300"/>
        <w:jc w:val="left"/>
        <w:rPr>
          <w:rFonts w:ascii="仿宋_GB2312" w:eastAsia="仿宋_GB2312"/>
          <w:sz w:val="32"/>
          <w:szCs w:val="32"/>
        </w:rPr>
      </w:pPr>
      <w:r>
        <w:rPr>
          <w:rFonts w:hint="eastAsia" w:ascii="仿宋_GB2312" w:eastAsia="仿宋_GB2312"/>
          <w:sz w:val="32"/>
          <w:szCs w:val="32"/>
        </w:rPr>
        <w:t>六、</w:t>
      </w:r>
      <w:r>
        <w:rPr>
          <w:rFonts w:ascii="仿宋_GB2312" w:eastAsia="仿宋_GB2312"/>
          <w:sz w:val="32"/>
          <w:szCs w:val="32"/>
        </w:rPr>
        <w:t>一般公共预算</w:t>
      </w:r>
      <w:r>
        <w:rPr>
          <w:rFonts w:hint="eastAsia" w:ascii="仿宋_GB2312" w:eastAsia="仿宋_GB2312"/>
          <w:sz w:val="32"/>
          <w:szCs w:val="32"/>
        </w:rPr>
        <w:t>基本</w:t>
      </w:r>
      <w:r>
        <w:rPr>
          <w:rFonts w:ascii="仿宋_GB2312" w:eastAsia="仿宋_GB2312"/>
          <w:sz w:val="32"/>
          <w:szCs w:val="32"/>
        </w:rPr>
        <w:t>支出表</w:t>
      </w:r>
    </w:p>
    <w:p>
      <w:pPr>
        <w:kinsoku w:val="0"/>
        <w:overflowPunct w:val="0"/>
        <w:adjustRightInd w:val="0"/>
        <w:snapToGrid w:val="0"/>
        <w:spacing w:line="360" w:lineRule="auto"/>
        <w:ind w:right="51" w:firstLine="960" w:firstLineChars="300"/>
        <w:jc w:val="left"/>
        <w:rPr>
          <w:rFonts w:hint="eastAsia" w:ascii="仿宋_GB2312" w:hAnsi="Times New Roman" w:eastAsia="仿宋_GB2312" w:cs="仿宋_GB2312"/>
          <w:sz w:val="32"/>
          <w:szCs w:val="32"/>
        </w:rPr>
      </w:pPr>
      <w:r>
        <w:rPr>
          <w:rFonts w:hint="eastAsia" w:ascii="仿宋_GB2312" w:eastAsia="仿宋_GB2312"/>
          <w:sz w:val="32"/>
          <w:szCs w:val="32"/>
        </w:rPr>
        <w:t>七、</w:t>
      </w:r>
      <w:r>
        <w:rPr>
          <w:rFonts w:hint="eastAsia" w:ascii="仿宋_GB2312" w:hAnsi="宋体" w:eastAsia="仿宋_GB2312" w:cs="宋体"/>
          <w:kern w:val="0"/>
          <w:sz w:val="32"/>
          <w:szCs w:val="32"/>
        </w:rPr>
        <w:t>支出经济分类汇总表</w:t>
      </w:r>
    </w:p>
    <w:p>
      <w:pPr>
        <w:kinsoku w:val="0"/>
        <w:overflowPunct w:val="0"/>
        <w:adjustRightInd w:val="0"/>
        <w:snapToGrid w:val="0"/>
        <w:spacing w:line="360" w:lineRule="auto"/>
        <w:ind w:right="51" w:firstLine="960" w:firstLineChars="300"/>
        <w:jc w:val="left"/>
        <w:rPr>
          <w:rFonts w:hint="eastAsia" w:ascii="仿宋_GB2312" w:hAnsi="Times New Roman" w:eastAsia="仿宋_GB2312" w:cs="仿宋_GB2312"/>
          <w:sz w:val="32"/>
          <w:szCs w:val="32"/>
        </w:rPr>
      </w:pPr>
      <w:r>
        <w:rPr>
          <w:rFonts w:hint="eastAsia" w:ascii="仿宋_GB2312" w:hAnsi="Times New Roman" w:eastAsia="仿宋_GB2312" w:cs="仿宋_GB2312"/>
          <w:sz w:val="32"/>
          <w:szCs w:val="32"/>
        </w:rPr>
        <w:t>八、</w:t>
      </w:r>
      <w:r>
        <w:rPr>
          <w:rFonts w:hint="eastAsia" w:ascii="仿宋_GB2312" w:eastAsia="仿宋_GB2312"/>
          <w:sz w:val="32"/>
          <w:szCs w:val="32"/>
        </w:rPr>
        <w:t>一般公共预算“三公”经费</w:t>
      </w:r>
      <w:r>
        <w:rPr>
          <w:rFonts w:hint="eastAsia" w:ascii="仿宋_GB2312" w:eastAsia="仿宋_GB2312"/>
          <w:sz w:val="32"/>
          <w:szCs w:val="32"/>
          <w:lang w:eastAsia="zh-CN"/>
        </w:rPr>
        <w:t>预算</w:t>
      </w:r>
      <w:r>
        <w:rPr>
          <w:rFonts w:hint="eastAsia" w:ascii="仿宋_GB2312" w:eastAsia="仿宋_GB2312"/>
          <w:sz w:val="32"/>
          <w:szCs w:val="32"/>
        </w:rPr>
        <w:t>表</w:t>
      </w:r>
    </w:p>
    <w:p>
      <w:pPr>
        <w:kinsoku w:val="0"/>
        <w:overflowPunct w:val="0"/>
        <w:adjustRightInd w:val="0"/>
        <w:snapToGrid w:val="0"/>
        <w:spacing w:line="360" w:lineRule="auto"/>
        <w:ind w:right="51" w:firstLine="960" w:firstLineChars="300"/>
        <w:jc w:val="left"/>
        <w:rPr>
          <w:rFonts w:ascii="仿宋_GB2312" w:eastAsia="仿宋_GB2312"/>
          <w:sz w:val="32"/>
          <w:szCs w:val="32"/>
        </w:rPr>
      </w:pPr>
      <w:r>
        <w:rPr>
          <w:rFonts w:hint="eastAsia" w:ascii="仿宋_GB2312" w:hAnsi="Times New Roman" w:eastAsia="仿宋_GB2312" w:cs="仿宋_GB2312"/>
          <w:sz w:val="32"/>
          <w:szCs w:val="32"/>
        </w:rPr>
        <w:t>九、</w:t>
      </w:r>
      <w:r>
        <w:rPr>
          <w:rFonts w:hint="eastAsia" w:ascii="仿宋_GB2312" w:eastAsia="仿宋_GB2312"/>
          <w:sz w:val="32"/>
          <w:szCs w:val="32"/>
        </w:rPr>
        <w:t>政府性基金支出</w:t>
      </w:r>
      <w:r>
        <w:rPr>
          <w:rFonts w:hint="eastAsia" w:ascii="仿宋_GB2312" w:eastAsia="仿宋_GB2312"/>
          <w:sz w:val="32"/>
          <w:szCs w:val="32"/>
          <w:lang w:eastAsia="zh-CN"/>
        </w:rPr>
        <w:t>预算</w:t>
      </w:r>
      <w:r>
        <w:rPr>
          <w:rFonts w:hint="eastAsia" w:ascii="仿宋_GB2312" w:eastAsia="仿宋_GB2312"/>
          <w:sz w:val="32"/>
          <w:szCs w:val="32"/>
        </w:rPr>
        <w:t>表</w:t>
      </w:r>
    </w:p>
    <w:p>
      <w:pPr>
        <w:kinsoku w:val="0"/>
        <w:overflowPunct w:val="0"/>
        <w:adjustRightInd w:val="0"/>
        <w:snapToGrid w:val="0"/>
        <w:spacing w:line="360" w:lineRule="auto"/>
        <w:ind w:right="51" w:firstLine="960" w:firstLineChars="300"/>
        <w:jc w:val="left"/>
        <w:rPr>
          <w:rFonts w:hint="eastAsia" w:ascii="仿宋_GB2312" w:eastAsia="仿宋_GB2312"/>
          <w:sz w:val="32"/>
          <w:szCs w:val="32"/>
        </w:rPr>
      </w:pPr>
      <w:r>
        <w:rPr>
          <w:rFonts w:hint="eastAsia" w:ascii="仿宋_GB2312" w:eastAsia="仿宋_GB2312"/>
          <w:sz w:val="32"/>
          <w:szCs w:val="32"/>
        </w:rPr>
        <w:t>十</w:t>
      </w:r>
      <w:r>
        <w:rPr>
          <w:rFonts w:ascii="仿宋_GB2312" w:eastAsia="仿宋_GB2312"/>
          <w:sz w:val="32"/>
          <w:szCs w:val="32"/>
        </w:rPr>
        <w:t>、</w:t>
      </w:r>
      <w:r>
        <w:rPr>
          <w:rFonts w:hint="eastAsia" w:ascii="仿宋_GB2312" w:eastAsia="仿宋_GB2312"/>
          <w:sz w:val="32"/>
          <w:szCs w:val="32"/>
        </w:rPr>
        <w:t>项目支出</w:t>
      </w:r>
      <w:r>
        <w:rPr>
          <w:rFonts w:hint="eastAsia" w:ascii="仿宋_GB2312" w:eastAsia="仿宋_GB2312"/>
          <w:sz w:val="32"/>
          <w:szCs w:val="32"/>
          <w:lang w:eastAsia="zh-CN"/>
        </w:rPr>
        <w:t>预算</w:t>
      </w:r>
      <w:r>
        <w:rPr>
          <w:rFonts w:hint="eastAsia" w:ascii="仿宋_GB2312" w:eastAsia="仿宋_GB2312"/>
          <w:sz w:val="32"/>
          <w:szCs w:val="32"/>
        </w:rPr>
        <w:t>表</w:t>
      </w:r>
    </w:p>
    <w:p>
      <w:pPr>
        <w:kinsoku w:val="0"/>
        <w:overflowPunct w:val="0"/>
        <w:adjustRightInd w:val="0"/>
        <w:snapToGrid w:val="0"/>
        <w:spacing w:line="360" w:lineRule="auto"/>
        <w:ind w:right="51" w:firstLine="960" w:firstLineChars="300"/>
        <w:jc w:val="left"/>
        <w:rPr>
          <w:rFonts w:hint="eastAsia" w:ascii="仿宋_GB2312" w:hAnsi="Times New Roman" w:eastAsia="仿宋_GB2312" w:cs="仿宋_GB2312"/>
          <w:sz w:val="32"/>
          <w:szCs w:val="32"/>
        </w:rPr>
      </w:pPr>
      <w:r>
        <w:rPr>
          <w:rFonts w:hint="eastAsia" w:ascii="仿宋_GB2312" w:eastAsia="仿宋_GB2312"/>
          <w:sz w:val="32"/>
          <w:szCs w:val="32"/>
        </w:rPr>
        <w:t>十</w:t>
      </w:r>
      <w:r>
        <w:rPr>
          <w:rFonts w:hint="eastAsia" w:ascii="仿宋_GB2312" w:eastAsia="仿宋_GB2312"/>
          <w:sz w:val="32"/>
          <w:szCs w:val="32"/>
          <w:lang w:eastAsia="zh-CN"/>
        </w:rPr>
        <w:t>一</w:t>
      </w:r>
      <w:r>
        <w:rPr>
          <w:rFonts w:ascii="仿宋_GB2312" w:eastAsia="仿宋_GB2312"/>
          <w:sz w:val="32"/>
          <w:szCs w:val="32"/>
        </w:rPr>
        <w:t>、</w:t>
      </w:r>
      <w:r>
        <w:rPr>
          <w:rFonts w:hint="eastAsia" w:ascii="仿宋_GB2312" w:eastAsia="仿宋_GB2312"/>
          <w:sz w:val="32"/>
          <w:szCs w:val="32"/>
          <w:lang w:eastAsia="zh-CN"/>
        </w:rPr>
        <w:t>单位</w:t>
      </w:r>
      <w:r>
        <w:rPr>
          <w:rFonts w:ascii="仿宋_GB2312" w:eastAsia="仿宋_GB2312"/>
          <w:sz w:val="32"/>
          <w:szCs w:val="32"/>
        </w:rPr>
        <w:t>预算项目绩效目标表</w:t>
      </w:r>
    </w:p>
    <w:p>
      <w:pPr>
        <w:adjustRightInd w:val="0"/>
        <w:snapToGrid w:val="0"/>
        <w:spacing w:line="360" w:lineRule="auto"/>
        <w:jc w:val="center"/>
        <w:rPr>
          <w:rFonts w:ascii="黑体" w:hAnsi="黑体" w:eastAsia="黑体"/>
          <w:sz w:val="32"/>
          <w:szCs w:val="32"/>
        </w:rPr>
      </w:pPr>
      <w:r>
        <w:rPr>
          <w:rFonts w:ascii="黑体" w:hAnsi="黑体" w:eastAsia="黑体"/>
          <w:sz w:val="32"/>
          <w:szCs w:val="32"/>
        </w:rPr>
        <w:br w:type="page"/>
      </w:r>
      <w:r>
        <w:rPr>
          <w:rFonts w:hint="eastAsia" w:ascii="黑体" w:hAnsi="黑体" w:eastAsia="黑体"/>
          <w:sz w:val="32"/>
          <w:szCs w:val="32"/>
        </w:rPr>
        <w:t>第一部分</w:t>
      </w:r>
    </w:p>
    <w:p>
      <w:pPr>
        <w:adjustRightInd w:val="0"/>
        <w:snapToGrid w:val="0"/>
        <w:spacing w:line="360" w:lineRule="auto"/>
        <w:jc w:val="center"/>
        <w:rPr>
          <w:rFonts w:ascii="黑体" w:hAnsi="黑体" w:eastAsia="黑体"/>
          <w:sz w:val="32"/>
          <w:szCs w:val="32"/>
        </w:rPr>
      </w:pPr>
      <w:r>
        <w:rPr>
          <w:rFonts w:hint="eastAsia" w:ascii="黑体" w:hAnsi="黑体" w:eastAsia="黑体"/>
          <w:sz w:val="32"/>
          <w:szCs w:val="32"/>
          <w:lang w:eastAsia="zh-CN"/>
        </w:rPr>
        <w:t>新乡市粮食和物资储备局</w:t>
      </w:r>
      <w:r>
        <w:rPr>
          <w:rFonts w:hint="eastAsia" w:ascii="黑体" w:hAnsi="黑体" w:eastAsia="黑体"/>
          <w:sz w:val="32"/>
          <w:szCs w:val="32"/>
        </w:rPr>
        <w:t>概况</w:t>
      </w:r>
    </w:p>
    <w:p>
      <w:pPr>
        <w:adjustRightInd w:val="0"/>
        <w:snapToGrid w:val="0"/>
        <w:spacing w:line="360" w:lineRule="auto"/>
        <w:ind w:firstLine="640" w:firstLineChars="200"/>
        <w:jc w:val="center"/>
        <w:rPr>
          <w:rFonts w:ascii="黑体" w:hAnsi="黑体" w:eastAsia="黑体"/>
          <w:sz w:val="32"/>
          <w:szCs w:val="32"/>
        </w:rPr>
      </w:pPr>
    </w:p>
    <w:p>
      <w:pPr>
        <w:adjustRightInd w:val="0"/>
        <w:snapToGrid w:val="0"/>
        <w:spacing w:line="360" w:lineRule="auto"/>
        <w:ind w:firstLine="640" w:firstLineChars="200"/>
        <w:rPr>
          <w:rFonts w:ascii="黑体" w:hAnsi="黑体" w:eastAsia="黑体"/>
          <w:sz w:val="32"/>
          <w:szCs w:val="32"/>
        </w:rPr>
      </w:pPr>
      <w:r>
        <w:rPr>
          <w:rFonts w:hint="eastAsia" w:ascii="黑体" w:hAnsi="黑体" w:eastAsia="黑体"/>
          <w:sz w:val="32"/>
          <w:szCs w:val="32"/>
        </w:rPr>
        <w:t>主要职责</w:t>
      </w:r>
    </w:p>
    <w:p>
      <w:pPr>
        <w:numPr>
          <w:ilvl w:val="0"/>
          <w:numId w:val="1"/>
        </w:numPr>
        <w:adjustRightInd w:val="0"/>
        <w:snapToGrid w:val="0"/>
        <w:spacing w:line="360" w:lineRule="auto"/>
        <w:ind w:firstLine="640" w:firstLineChars="200"/>
        <w:rPr>
          <w:rFonts w:hint="eastAsia" w:ascii="楷体_GB2312" w:hAnsi="宋体" w:eastAsia="楷体_GB2312" w:cs="Courier New"/>
          <w:kern w:val="0"/>
          <w:sz w:val="32"/>
          <w:szCs w:val="32"/>
          <w:lang w:eastAsia="zh-CN"/>
        </w:rPr>
      </w:pPr>
      <w:r>
        <w:rPr>
          <w:rFonts w:hint="eastAsia" w:ascii="楷体_GB2312" w:hAnsi="宋体" w:eastAsia="楷体_GB2312" w:cs="Courier New"/>
          <w:kern w:val="0"/>
          <w:sz w:val="32"/>
          <w:szCs w:val="32"/>
          <w:lang w:eastAsia="zh-CN"/>
        </w:rPr>
        <w:t>机构设置情况</w:t>
      </w:r>
    </w:p>
    <w:p>
      <w:pPr>
        <w:spacing w:line="57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t>根据《</w:t>
      </w:r>
      <w:r>
        <w:rPr>
          <w:rFonts w:hint="eastAsia" w:ascii="仿宋_GB2312" w:eastAsia="仿宋_GB2312"/>
          <w:sz w:val="32"/>
          <w:szCs w:val="32"/>
          <w:lang w:val="en-US" w:eastAsia="zh-CN"/>
        </w:rPr>
        <w:t>中共新乡市委办公室 新乡市人民政府办公室关于印发&lt;新乡市粮食和物资储备局职能配置、内设机构和人员编制规定&gt;的通知</w:t>
      </w:r>
      <w:r>
        <w:rPr>
          <w:rFonts w:hint="eastAsia" w:ascii="仿宋_GB2312" w:eastAsia="仿宋_GB2312"/>
          <w:sz w:val="32"/>
          <w:szCs w:val="32"/>
          <w:lang w:eastAsia="zh-CN"/>
        </w:rPr>
        <w:t>》（新办文〔</w:t>
      </w:r>
      <w:r>
        <w:rPr>
          <w:rFonts w:hint="eastAsia" w:ascii="黑体" w:hAnsi="黑体" w:eastAsia="黑体"/>
          <w:sz w:val="32"/>
          <w:szCs w:val="32"/>
          <w:lang w:val="en-US" w:eastAsia="zh-CN"/>
        </w:rPr>
        <w:t>2019</w:t>
      </w:r>
      <w:r>
        <w:rPr>
          <w:rFonts w:hint="eastAsia" w:ascii="仿宋_GB2312" w:eastAsia="仿宋_GB2312"/>
          <w:sz w:val="32"/>
          <w:szCs w:val="32"/>
          <w:lang w:eastAsia="zh-CN"/>
        </w:rPr>
        <w:t>〕</w:t>
      </w:r>
      <w:r>
        <w:rPr>
          <w:rFonts w:hint="eastAsia" w:ascii="黑体" w:hAnsi="黑体" w:eastAsia="黑体"/>
          <w:sz w:val="32"/>
          <w:szCs w:val="32"/>
          <w:lang w:val="en-US" w:eastAsia="zh-CN"/>
        </w:rPr>
        <w:t>40</w:t>
      </w:r>
      <w:r>
        <w:rPr>
          <w:rFonts w:hint="eastAsia" w:ascii="仿宋_GB2312" w:eastAsia="仿宋_GB2312"/>
          <w:sz w:val="32"/>
          <w:szCs w:val="32"/>
          <w:lang w:val="en-US" w:eastAsia="zh-CN"/>
        </w:rPr>
        <w:t>号</w:t>
      </w:r>
      <w:r>
        <w:rPr>
          <w:rFonts w:hint="eastAsia" w:ascii="仿宋_GB2312" w:eastAsia="仿宋_GB2312"/>
          <w:sz w:val="32"/>
          <w:szCs w:val="32"/>
          <w:lang w:eastAsia="zh-CN"/>
        </w:rPr>
        <w:t>）文件规定，</w:t>
      </w:r>
      <w:r>
        <w:rPr>
          <w:rFonts w:hint="eastAsia" w:ascii="仿宋_GB2312" w:eastAsia="仿宋_GB2312"/>
          <w:sz w:val="32"/>
          <w:szCs w:val="32"/>
          <w:lang w:val="en-US" w:eastAsia="zh-CN"/>
        </w:rPr>
        <w:t>新乡市粮食和物资储备局是市政府工作部门，</w:t>
      </w:r>
      <w:r>
        <w:rPr>
          <w:rFonts w:hint="eastAsia" w:eastAsia="仿宋_GB2312"/>
          <w:spacing w:val="11"/>
          <w:sz w:val="32"/>
          <w:szCs w:val="32"/>
        </w:rPr>
        <w:t>为正处级</w:t>
      </w:r>
      <w:r>
        <w:rPr>
          <w:rFonts w:hint="eastAsia" w:ascii="仿宋_GB2312" w:eastAsia="仿宋_GB2312"/>
          <w:sz w:val="32"/>
          <w:szCs w:val="32"/>
        </w:rPr>
        <w:t>。</w:t>
      </w:r>
    </w:p>
    <w:p>
      <w:pPr>
        <w:adjustRightInd w:val="0"/>
        <w:snapToGrid w:val="0"/>
        <w:spacing w:line="360" w:lineRule="auto"/>
        <w:ind w:firstLine="640" w:firstLineChars="200"/>
        <w:rPr>
          <w:rFonts w:hint="eastAsia" w:ascii="楷体_GB2312" w:hAnsi="宋体" w:eastAsia="楷体_GB2312" w:cs="Courier New"/>
          <w:kern w:val="0"/>
          <w:sz w:val="32"/>
          <w:szCs w:val="32"/>
          <w:lang w:eastAsia="zh-CN"/>
        </w:rPr>
      </w:pPr>
      <w:r>
        <w:rPr>
          <w:rFonts w:hint="eastAsia" w:ascii="楷体_GB2312" w:hAnsi="宋体" w:eastAsia="楷体_GB2312" w:cs="Courier New"/>
          <w:kern w:val="0"/>
          <w:sz w:val="32"/>
          <w:szCs w:val="32"/>
        </w:rPr>
        <w:t>（二）</w:t>
      </w:r>
      <w:r>
        <w:rPr>
          <w:rFonts w:hint="eastAsia" w:ascii="楷体_GB2312" w:hAnsi="宋体" w:eastAsia="楷体_GB2312" w:cs="Courier New"/>
          <w:kern w:val="0"/>
          <w:sz w:val="32"/>
          <w:szCs w:val="32"/>
          <w:lang w:eastAsia="zh-CN"/>
        </w:rPr>
        <w:t>单位职责</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w:t>
      </w:r>
      <w:r>
        <w:rPr>
          <w:rFonts w:hint="eastAsia" w:ascii="仿宋_GB2312" w:eastAsia="仿宋_GB2312"/>
          <w:sz w:val="32"/>
          <w:szCs w:val="32"/>
          <w:lang w:eastAsia="zh-CN"/>
        </w:rPr>
        <w:t>贯彻执行国家和省粮食流通和物资储备管理的法律法规；拟订全市粮食流通和物资储备体制改革方案并组织实施；推动国有粮食企业改革。</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拟订全市粮食流通和物资储备管理相关政策并监督实施，会同有关部门研究提出全市粮食和物资储备中长期规划建议；负责市级地方粮食储备体系建设；贯彻落实国家、省粮食质量标准，提出粮食收购市场准入标准建议，承担粮棉糖等市场监测预警责任，指导协调政策性粮食购销和粮食产销合作；负责全市军粮供应管理工作；指导全市粮食和物资储备系统国家安全工作。</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lang w:eastAsia="zh-CN"/>
        </w:rPr>
        <w:t>研究提出市级战略和应急物资储备规划、储备品种目录的建议；根据全市储备总体发展规划和品种目录，组织实施市级战略和应急储备物资的收储、轮换和日常管理。</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lang w:eastAsia="zh-CN"/>
        </w:rPr>
        <w:t>负责全市粮食流通和物资储备监督检查工作。监督检查粮食和物资储备有关法律、法规和政策的贯彻落实情况，拟订全市粮食流通、粮食库存、物资储备监督检查制度并组织实施。组织指导对政策性粮食购销活动和社会粮食流通进行监督检查，组织指导对国家和省粮食流通统计制度执行情况监督检查。负责本系统储备粮库的安全生产监督管理工作。承担粮食安全责任制考核日常工作。</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5.</w:t>
      </w:r>
      <w:r>
        <w:rPr>
          <w:rFonts w:hint="eastAsia" w:ascii="仿宋_GB2312" w:eastAsia="仿宋_GB2312"/>
          <w:sz w:val="32"/>
          <w:szCs w:val="32"/>
          <w:lang w:eastAsia="zh-CN"/>
        </w:rPr>
        <w:t>会同有关部门拟订市级储备粮油、棉花和食糖等储存规模、品种、总体布局及收购、销售计划，提出动用市级储备粮油、棉花和食糖等的建议；按照有关规定审批市级储备粮油轮换计划并组织实施。</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6.</w:t>
      </w:r>
      <w:r>
        <w:rPr>
          <w:rFonts w:hint="eastAsia" w:ascii="仿宋_GB2312" w:eastAsia="仿宋_GB2312"/>
          <w:sz w:val="32"/>
          <w:szCs w:val="32"/>
          <w:lang w:eastAsia="zh-CN"/>
        </w:rPr>
        <w:t>负责粮食流通行业管理。负责市区粮食收购资格认定以及社会粮食流通统计工作。对粮食收购、储存环节的粮食质量安全和原粮卫生进行监督管理，组织粮食质量调查、品质测报、安全监测、质量会检和粮食质量信息发布，拟订粮食储存、运输技术规范并监督执行，开展粮食流通对外合作与交流。拟订全市粮食产业经济发展有关规划和技术规范、管理办法并组织实施，拟订全市粮食和物资收储供应安全保障、粮食市场体系建设与发展规划并组织实施，负责全市粮油加工行业指导和质量、计量、标准管理工作。</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7.</w:t>
      </w:r>
      <w:r>
        <w:rPr>
          <w:rFonts w:hint="eastAsia" w:ascii="仿宋_GB2312" w:eastAsia="仿宋_GB2312"/>
          <w:sz w:val="32"/>
          <w:szCs w:val="32"/>
          <w:lang w:eastAsia="zh-CN"/>
        </w:rPr>
        <w:t>根据全市粮食和物资储备总体发展规划，统一负责相关基础设施建设和管理。负责政策性粮食储存、流通安全生产工作的监督管理。承担市级物资储备承储单位安全生产的监管责任。负责市级粮食和物资储备应急体系建设及应急管理，落实有关动用计划和指令。负责粮食和物资储备有关科技创新、技术改造、信息化建设等工作。</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8.</w:t>
      </w:r>
      <w:r>
        <w:rPr>
          <w:rFonts w:hint="eastAsia" w:ascii="仿宋_GB2312" w:eastAsia="仿宋_GB2312"/>
          <w:sz w:val="32"/>
          <w:szCs w:val="32"/>
          <w:lang w:eastAsia="zh-CN"/>
        </w:rPr>
        <w:t>指导全市粮食和物资储备系统财务、审计工作。</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9.</w:t>
      </w:r>
      <w:r>
        <w:rPr>
          <w:rFonts w:hint="eastAsia" w:ascii="仿宋_GB2312" w:eastAsia="仿宋_GB2312"/>
          <w:sz w:val="32"/>
          <w:szCs w:val="32"/>
          <w:lang w:eastAsia="zh-CN"/>
        </w:rPr>
        <w:t>完成市委、市政府交办的其他任务。</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val="en-US" w:eastAsia="zh-CN"/>
        </w:rPr>
        <w:t>10.</w:t>
      </w:r>
      <w:r>
        <w:rPr>
          <w:rFonts w:hint="eastAsia" w:ascii="仿宋_GB2312" w:eastAsia="仿宋_GB2312"/>
          <w:sz w:val="32"/>
          <w:szCs w:val="32"/>
          <w:lang w:eastAsia="zh-CN"/>
        </w:rPr>
        <w:t>有关职责分工。</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1</w:t>
      </w:r>
      <w:r>
        <w:rPr>
          <w:rFonts w:hint="eastAsia" w:ascii="仿宋_GB2312" w:eastAsia="仿宋_GB2312"/>
          <w:sz w:val="32"/>
          <w:szCs w:val="32"/>
          <w:lang w:eastAsia="zh-CN"/>
        </w:rPr>
        <w:t>）与市发展和改革委员会的职责分工。市发展和改革委员会拟订粮食等战略和应急物资的市级储备规划和总量计划。市粮食和物资储备局负责收储、轮换和日常管理。</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2</w:t>
      </w:r>
      <w:r>
        <w:rPr>
          <w:rFonts w:hint="eastAsia" w:ascii="仿宋_GB2312" w:eastAsia="仿宋_GB2312"/>
          <w:sz w:val="32"/>
          <w:szCs w:val="32"/>
          <w:lang w:eastAsia="zh-CN"/>
        </w:rPr>
        <w:t>）与市应急管理局的职责分工。市应急管理局负责提出市级救灾物资的储备需求，组织编制市级救灾物资储备规划、品种目录，会同市粮食和物资储备局等部门确定年度购置计划，根据需要下达动用指令。市粮食和物资储备局根据新乡市救灾物资储备规划、品种目录、年度购置计划，负责市级救灾物资的收储、轮换和日常管理，根据市应急管理局的动用指令按程序组织调出。</w:t>
      </w:r>
    </w:p>
    <w:p>
      <w:pPr>
        <w:spacing w:line="570" w:lineRule="exact"/>
        <w:ind w:firstLine="640" w:firstLineChars="200"/>
        <w:rPr>
          <w:rFonts w:hint="eastAsia" w:ascii="仿宋_GB2312" w:eastAsia="仿宋_GB2312"/>
          <w:sz w:val="32"/>
          <w:szCs w:val="32"/>
          <w:lang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3</w:t>
      </w:r>
      <w:r>
        <w:rPr>
          <w:rFonts w:hint="eastAsia" w:ascii="仿宋_GB2312" w:eastAsia="仿宋_GB2312"/>
          <w:sz w:val="32"/>
          <w:szCs w:val="32"/>
          <w:lang w:eastAsia="zh-CN"/>
        </w:rPr>
        <w:t>）与市农业农村局的职责分工。市农业农村局负责粮食种植环节的质量安全监管，市粮食和物资储备局负责粮食(含食用油)收购、储存、运输、政策性粮食加工和原粮、政策性粮食销售环节的质量安全监管。</w:t>
      </w:r>
    </w:p>
    <w:p>
      <w:pPr>
        <w:spacing w:line="570" w:lineRule="exact"/>
        <w:ind w:left="0" w:leftChars="0" w:firstLine="0" w:firstLineChars="0"/>
        <w:jc w:val="center"/>
        <w:rPr>
          <w:rFonts w:ascii="黑体" w:hAnsi="Times New Roman" w:eastAsia="黑体" w:cs="黑体"/>
          <w:spacing w:val="-38"/>
          <w:sz w:val="32"/>
          <w:szCs w:val="32"/>
        </w:rPr>
      </w:pPr>
      <w:r>
        <w:rPr>
          <w:rFonts w:hint="eastAsia" w:ascii="仿宋_GB2312" w:eastAsia="仿宋_GB2312"/>
          <w:sz w:val="32"/>
          <w:szCs w:val="32"/>
          <w:lang w:eastAsia="zh-CN"/>
        </w:rPr>
        <w:br w:type="page"/>
      </w:r>
      <w:r>
        <w:rPr>
          <w:rFonts w:hint="eastAsia" w:ascii="黑体" w:hAnsi="Times New Roman" w:eastAsia="黑体" w:cs="黑体"/>
          <w:sz w:val="32"/>
          <w:szCs w:val="32"/>
        </w:rPr>
        <w:t>第二部分</w:t>
      </w:r>
    </w:p>
    <w:p>
      <w:pPr>
        <w:adjustRightInd w:val="0"/>
        <w:snapToGrid w:val="0"/>
        <w:spacing w:line="360" w:lineRule="auto"/>
        <w:jc w:val="center"/>
        <w:rPr>
          <w:rFonts w:ascii="黑体" w:hAnsi="黑体" w:eastAsia="黑体"/>
          <w:sz w:val="32"/>
          <w:szCs w:val="32"/>
        </w:rPr>
      </w:pPr>
      <w:r>
        <w:rPr>
          <w:rFonts w:hint="eastAsia" w:ascii="黑体" w:hAnsi="黑体" w:eastAsia="黑体"/>
          <w:sz w:val="32"/>
          <w:szCs w:val="32"/>
          <w:lang w:eastAsia="zh-CN"/>
        </w:rPr>
        <w:t>新乡市粮食和物资储备局</w:t>
      </w:r>
      <w:r>
        <w:rPr>
          <w:rFonts w:ascii="黑体" w:hAnsi="Times New Roman" w:eastAsia="黑体" w:cs="黑体"/>
          <w:sz w:val="32"/>
          <w:szCs w:val="32"/>
        </w:rPr>
        <w:t>2022</w:t>
      </w:r>
      <w:r>
        <w:rPr>
          <w:rFonts w:hint="eastAsia" w:ascii="黑体" w:hAnsi="Times New Roman" w:eastAsia="黑体" w:cs="黑体"/>
          <w:sz w:val="32"/>
          <w:szCs w:val="32"/>
        </w:rPr>
        <w:t>年</w:t>
      </w:r>
      <w:r>
        <w:rPr>
          <w:rFonts w:hint="eastAsia" w:ascii="黑体" w:hAnsi="Times New Roman" w:eastAsia="黑体" w:cs="黑体"/>
          <w:sz w:val="32"/>
          <w:szCs w:val="32"/>
          <w:lang w:eastAsia="zh-CN"/>
        </w:rPr>
        <w:t>度</w:t>
      </w:r>
      <w:r>
        <w:rPr>
          <w:rFonts w:hint="eastAsia" w:ascii="黑体" w:hAnsi="Times New Roman" w:eastAsia="黑体" w:cs="黑体"/>
          <w:sz w:val="32"/>
          <w:szCs w:val="32"/>
        </w:rPr>
        <w:t>预算情况说明</w:t>
      </w:r>
    </w:p>
    <w:p>
      <w:pPr>
        <w:adjustRightInd w:val="0"/>
        <w:snapToGrid w:val="0"/>
        <w:spacing w:line="360" w:lineRule="auto"/>
        <w:ind w:firstLine="640" w:firstLineChars="200"/>
        <w:rPr>
          <w:rFonts w:ascii="黑体" w:hAnsi="黑体" w:eastAsia="黑体"/>
          <w:sz w:val="32"/>
          <w:szCs w:val="32"/>
        </w:rPr>
      </w:pPr>
    </w:p>
    <w:p>
      <w:pPr>
        <w:adjustRightInd w:val="0"/>
        <w:snapToGrid w:val="0"/>
        <w:spacing w:line="560" w:lineRule="exact"/>
        <w:ind w:firstLine="640" w:firstLineChars="200"/>
        <w:contextualSpacing/>
        <w:rPr>
          <w:rFonts w:ascii="黑体" w:hAnsi="黑体" w:eastAsia="黑体"/>
          <w:sz w:val="32"/>
          <w:szCs w:val="32"/>
        </w:rPr>
      </w:pPr>
      <w:r>
        <w:rPr>
          <w:rFonts w:hint="eastAsia" w:ascii="黑体" w:hAnsi="黑体" w:eastAsia="黑体"/>
          <w:sz w:val="32"/>
          <w:szCs w:val="32"/>
        </w:rPr>
        <w:t>一、收入支出预算总体情况说明</w:t>
      </w:r>
    </w:p>
    <w:p>
      <w:pPr>
        <w:adjustRightInd w:val="0"/>
        <w:snapToGrid w:val="0"/>
        <w:spacing w:line="560" w:lineRule="exact"/>
        <w:ind w:firstLine="640" w:firstLineChars="200"/>
        <w:contextualSpacing/>
        <w:rPr>
          <w:rFonts w:ascii="仿宋_GB2312" w:hAnsi="宋体" w:eastAsia="仿宋_GB2312" w:cs="Courier New"/>
          <w:sz w:val="32"/>
          <w:szCs w:val="32"/>
        </w:rPr>
      </w:pPr>
      <w:r>
        <w:rPr>
          <w:rFonts w:hint="eastAsia" w:ascii="仿宋_GB2312" w:hAnsi="宋体" w:eastAsia="仿宋_GB2312" w:cs="Courier New"/>
          <w:sz w:val="32"/>
          <w:szCs w:val="32"/>
        </w:rPr>
        <w:t>20</w:t>
      </w:r>
      <w:r>
        <w:rPr>
          <w:rFonts w:ascii="仿宋_GB2312" w:hAnsi="宋体" w:eastAsia="仿宋_GB2312" w:cs="Courier New"/>
          <w:sz w:val="32"/>
          <w:szCs w:val="32"/>
        </w:rPr>
        <w:t>22</w:t>
      </w:r>
      <w:r>
        <w:rPr>
          <w:rFonts w:hint="eastAsia" w:ascii="仿宋_GB2312" w:hAnsi="宋体" w:eastAsia="仿宋_GB2312" w:cs="Courier New"/>
          <w:sz w:val="32"/>
          <w:szCs w:val="32"/>
        </w:rPr>
        <w:t>年收入总计</w:t>
      </w:r>
      <w:r>
        <w:rPr>
          <w:rFonts w:hint="eastAsia" w:ascii="仿宋_GB2312" w:eastAsia="仿宋_GB2312"/>
          <w:sz w:val="32"/>
          <w:szCs w:val="32"/>
          <w:lang w:val="en-US" w:eastAsia="zh-CN"/>
        </w:rPr>
        <w:t>2379.60</w:t>
      </w:r>
      <w:r>
        <w:rPr>
          <w:rFonts w:hint="eastAsia" w:ascii="仿宋_GB2312" w:hAnsi="宋体" w:eastAsia="仿宋_GB2312" w:cs="Courier New"/>
          <w:sz w:val="32"/>
          <w:szCs w:val="32"/>
        </w:rPr>
        <w:t>万元，支出总计</w:t>
      </w:r>
      <w:r>
        <w:rPr>
          <w:rFonts w:hint="eastAsia" w:ascii="仿宋_GB2312" w:eastAsia="仿宋_GB2312"/>
          <w:sz w:val="32"/>
          <w:szCs w:val="32"/>
          <w:lang w:val="en-US" w:eastAsia="zh-CN"/>
        </w:rPr>
        <w:t>2379.60</w:t>
      </w:r>
      <w:r>
        <w:rPr>
          <w:rFonts w:hint="eastAsia" w:ascii="仿宋_GB2312" w:hAnsi="宋体" w:eastAsia="仿宋_GB2312" w:cs="Courier New"/>
          <w:sz w:val="32"/>
          <w:szCs w:val="32"/>
        </w:rPr>
        <w:t>万元，与20</w:t>
      </w:r>
      <w:r>
        <w:rPr>
          <w:rFonts w:ascii="仿宋_GB2312" w:hAnsi="宋体" w:eastAsia="仿宋_GB2312" w:cs="Courier New"/>
          <w:sz w:val="32"/>
          <w:szCs w:val="32"/>
        </w:rPr>
        <w:t>21</w:t>
      </w:r>
      <w:r>
        <w:rPr>
          <w:rFonts w:hint="eastAsia" w:ascii="仿宋_GB2312" w:hAnsi="宋体" w:eastAsia="仿宋_GB2312" w:cs="Courier New"/>
          <w:sz w:val="32"/>
          <w:szCs w:val="32"/>
        </w:rPr>
        <w:t>年预算相比，收入减少</w:t>
      </w:r>
      <w:r>
        <w:rPr>
          <w:rFonts w:hint="eastAsia" w:ascii="仿宋_GB2312" w:hAnsi="宋体" w:eastAsia="仿宋_GB2312" w:cs="Courier New"/>
          <w:sz w:val="32"/>
          <w:szCs w:val="32"/>
          <w:lang w:val="en-US" w:eastAsia="zh-CN"/>
        </w:rPr>
        <w:t>1410.99</w:t>
      </w:r>
      <w:r>
        <w:rPr>
          <w:rFonts w:hint="eastAsia" w:ascii="仿宋_GB2312" w:hAnsi="宋体" w:eastAsia="仿宋_GB2312" w:cs="Courier New"/>
          <w:sz w:val="32"/>
          <w:szCs w:val="32"/>
        </w:rPr>
        <w:t>万元，下降</w:t>
      </w:r>
      <w:r>
        <w:rPr>
          <w:rFonts w:hint="eastAsia" w:ascii="仿宋_GB2312" w:hAnsi="宋体" w:eastAsia="仿宋_GB2312" w:cs="Courier New"/>
          <w:sz w:val="32"/>
          <w:szCs w:val="32"/>
          <w:lang w:val="en-US" w:eastAsia="zh-CN"/>
        </w:rPr>
        <w:t>37.22</w:t>
      </w:r>
      <w:r>
        <w:rPr>
          <w:rFonts w:hint="eastAsia" w:ascii="仿宋_GB2312" w:hAnsi="宋体" w:eastAsia="仿宋_GB2312" w:cs="Courier New"/>
          <w:sz w:val="32"/>
          <w:szCs w:val="32"/>
        </w:rPr>
        <w:t>%。主要原因：</w:t>
      </w:r>
      <w:r>
        <w:rPr>
          <w:rFonts w:hint="eastAsia" w:ascii="仿宋_GB2312" w:hAnsi="宋体" w:eastAsia="仿宋_GB2312" w:cs="Courier New"/>
          <w:color w:val="auto"/>
          <w:sz w:val="32"/>
          <w:szCs w:val="32"/>
          <w:u w:val="none"/>
          <w:lang w:val="en-US" w:eastAsia="zh-CN"/>
        </w:rPr>
        <w:t>2021年有救灾物资建设项目，今年没有此项目</w:t>
      </w:r>
      <w:r>
        <w:rPr>
          <w:rFonts w:hint="eastAsia" w:ascii="仿宋_GB2312" w:hAnsi="宋体" w:eastAsia="仿宋_GB2312" w:cs="Courier New"/>
          <w:sz w:val="32"/>
          <w:szCs w:val="32"/>
        </w:rPr>
        <w:t>;支出减少</w:t>
      </w:r>
      <w:r>
        <w:rPr>
          <w:rFonts w:hint="eastAsia" w:ascii="仿宋_GB2312" w:hAnsi="宋体" w:eastAsia="仿宋_GB2312" w:cs="Courier New"/>
          <w:sz w:val="32"/>
          <w:szCs w:val="32"/>
          <w:lang w:val="en-US" w:eastAsia="zh-CN"/>
        </w:rPr>
        <w:t>1410.99</w:t>
      </w:r>
      <w:r>
        <w:rPr>
          <w:rFonts w:hint="eastAsia" w:ascii="仿宋_GB2312" w:hAnsi="宋体" w:eastAsia="仿宋_GB2312" w:cs="Courier New"/>
          <w:sz w:val="32"/>
          <w:szCs w:val="32"/>
        </w:rPr>
        <w:t>万元，下降</w:t>
      </w:r>
      <w:r>
        <w:rPr>
          <w:rFonts w:hint="eastAsia" w:ascii="仿宋_GB2312" w:hAnsi="宋体" w:eastAsia="仿宋_GB2312" w:cs="Courier New"/>
          <w:sz w:val="32"/>
          <w:szCs w:val="32"/>
          <w:lang w:val="en-US" w:eastAsia="zh-CN"/>
        </w:rPr>
        <w:t>37.22</w:t>
      </w:r>
      <w:r>
        <w:rPr>
          <w:rFonts w:hint="eastAsia" w:ascii="仿宋_GB2312" w:hAnsi="宋体" w:eastAsia="仿宋_GB2312" w:cs="Courier New"/>
          <w:sz w:val="32"/>
          <w:szCs w:val="32"/>
        </w:rPr>
        <w:t>%。主要原因：</w:t>
      </w:r>
      <w:r>
        <w:rPr>
          <w:rFonts w:hint="eastAsia" w:ascii="仿宋_GB2312" w:hAnsi="宋体" w:eastAsia="仿宋_GB2312" w:cs="Courier New"/>
          <w:color w:val="auto"/>
          <w:sz w:val="32"/>
          <w:szCs w:val="32"/>
          <w:u w:val="none"/>
          <w:lang w:val="en-US" w:eastAsia="zh-CN"/>
        </w:rPr>
        <w:t>2021年有救灾物资建设项目，今年没有此项目</w:t>
      </w:r>
      <w:r>
        <w:rPr>
          <w:rFonts w:hint="eastAsia" w:ascii="仿宋_GB2312" w:hAnsi="宋体" w:eastAsia="仿宋_GB2312" w:cs="Courier New"/>
          <w:sz w:val="32"/>
          <w:szCs w:val="32"/>
        </w:rPr>
        <w:t>。</w:t>
      </w:r>
    </w:p>
    <w:p>
      <w:pPr>
        <w:spacing w:line="560" w:lineRule="exact"/>
        <w:ind w:firstLine="640" w:firstLineChars="200"/>
        <w:rPr>
          <w:rFonts w:ascii="黑体" w:hAnsi="黑体" w:eastAsia="黑体"/>
          <w:sz w:val="32"/>
          <w:szCs w:val="32"/>
        </w:rPr>
      </w:pPr>
      <w:r>
        <w:rPr>
          <w:rFonts w:hint="eastAsia" w:ascii="黑体" w:hAnsi="黑体" w:eastAsia="黑体"/>
          <w:sz w:val="32"/>
          <w:szCs w:val="32"/>
        </w:rPr>
        <w:t>二、收入预算总体情况说明</w:t>
      </w:r>
    </w:p>
    <w:p>
      <w:pPr>
        <w:spacing w:line="560" w:lineRule="exact"/>
        <w:ind w:firstLine="640" w:firstLineChars="200"/>
        <w:rPr>
          <w:rFonts w:hint="eastAsia" w:ascii="仿宋_GB2312" w:eastAsia="仿宋_GB2312"/>
          <w:sz w:val="32"/>
          <w:szCs w:val="32"/>
        </w:rPr>
      </w:pPr>
      <w:r>
        <w:rPr>
          <w:rFonts w:hint="eastAsia" w:ascii="仿宋_GB2312" w:hAnsi="Times New Roman" w:eastAsia="仿宋_GB2312"/>
          <w:sz w:val="32"/>
          <w:szCs w:val="32"/>
        </w:rPr>
        <w:t>202</w:t>
      </w:r>
      <w:r>
        <w:rPr>
          <w:rFonts w:ascii="仿宋_GB2312" w:hAnsi="Times New Roman" w:eastAsia="仿宋_GB2312"/>
          <w:sz w:val="32"/>
          <w:szCs w:val="32"/>
        </w:rPr>
        <w:t>2</w:t>
      </w:r>
      <w:r>
        <w:rPr>
          <w:rFonts w:hint="eastAsia" w:ascii="仿宋_GB2312" w:hAnsi="Times New Roman" w:eastAsia="仿宋_GB2312"/>
          <w:sz w:val="32"/>
          <w:szCs w:val="32"/>
        </w:rPr>
        <w:t>年收入合计</w:t>
      </w:r>
      <w:r>
        <w:rPr>
          <w:rFonts w:hint="eastAsia" w:ascii="仿宋_GB2312" w:eastAsia="仿宋_GB2312"/>
          <w:sz w:val="32"/>
          <w:szCs w:val="32"/>
          <w:lang w:val="en-US" w:eastAsia="zh-CN"/>
        </w:rPr>
        <w:t>2379.60</w:t>
      </w:r>
      <w:r>
        <w:rPr>
          <w:rFonts w:hint="eastAsia" w:ascii="仿宋_GB2312" w:hAnsi="Times New Roman" w:eastAsia="仿宋_GB2312"/>
          <w:sz w:val="32"/>
          <w:szCs w:val="32"/>
        </w:rPr>
        <w:t>万元，</w:t>
      </w:r>
      <w:r>
        <w:rPr>
          <w:rFonts w:hint="eastAsia" w:ascii="仿宋_GB2312" w:eastAsia="仿宋_GB2312"/>
          <w:sz w:val="32"/>
          <w:szCs w:val="32"/>
        </w:rPr>
        <w:t>其中：一般公共预算</w:t>
      </w:r>
      <w:r>
        <w:rPr>
          <w:rFonts w:hint="eastAsia" w:ascii="仿宋_GB2312" w:eastAsia="仿宋_GB2312"/>
          <w:sz w:val="32"/>
          <w:szCs w:val="32"/>
          <w:lang w:val="en-US" w:eastAsia="zh-CN"/>
        </w:rPr>
        <w:t>2379.60</w:t>
      </w:r>
      <w:r>
        <w:rPr>
          <w:rFonts w:hint="eastAsia" w:ascii="仿宋_GB2312" w:eastAsia="仿宋_GB2312"/>
          <w:sz w:val="32"/>
          <w:szCs w:val="32"/>
        </w:rPr>
        <w:t>万元;</w:t>
      </w:r>
      <w:r>
        <w:rPr>
          <w:rFonts w:ascii="仿宋_GB2312" w:hAnsi="Times New Roman" w:eastAsia="仿宋_GB2312"/>
          <w:sz w:val="32"/>
          <w:szCs w:val="32"/>
        </w:rPr>
        <w:t xml:space="preserve"> 政府性基金收入</w:t>
      </w:r>
      <w:r>
        <w:rPr>
          <w:rFonts w:hint="eastAsia" w:ascii="仿宋_GB2312" w:eastAsia="仿宋_GB2312"/>
          <w:sz w:val="32"/>
          <w:szCs w:val="32"/>
          <w:lang w:val="en-US" w:eastAsia="zh-CN"/>
        </w:rPr>
        <w:t>0</w:t>
      </w:r>
      <w:r>
        <w:rPr>
          <w:rFonts w:ascii="仿宋_GB2312" w:hAnsi="Times New Roman" w:eastAsia="仿宋_GB2312"/>
          <w:sz w:val="32"/>
          <w:szCs w:val="32"/>
        </w:rPr>
        <w:t>万元；专户管理的教育收费</w:t>
      </w:r>
      <w:r>
        <w:rPr>
          <w:rFonts w:hint="eastAsia" w:ascii="仿宋_GB2312" w:eastAsia="仿宋_GB2312"/>
          <w:sz w:val="32"/>
          <w:szCs w:val="32"/>
          <w:lang w:val="en-US" w:eastAsia="zh-CN"/>
        </w:rPr>
        <w:t>0</w:t>
      </w:r>
      <w:r>
        <w:rPr>
          <w:rFonts w:ascii="仿宋_GB2312" w:hAnsi="Times New Roman" w:eastAsia="仿宋_GB2312"/>
          <w:sz w:val="32"/>
          <w:szCs w:val="32"/>
        </w:rPr>
        <w:t>万元</w:t>
      </w:r>
      <w:r>
        <w:rPr>
          <w:rFonts w:hint="eastAsia" w:ascii="仿宋_GB2312" w:eastAsia="仿宋_GB2312"/>
          <w:sz w:val="32"/>
          <w:szCs w:val="32"/>
        </w:rPr>
        <w:t>。</w:t>
      </w:r>
    </w:p>
    <w:p>
      <w:pPr>
        <w:spacing w:line="560" w:lineRule="exact"/>
        <w:ind w:firstLine="640" w:firstLineChars="200"/>
        <w:rPr>
          <w:rFonts w:hint="eastAsia" w:ascii="仿宋_GB2312" w:eastAsia="仿宋_GB2312"/>
          <w:sz w:val="32"/>
          <w:szCs w:val="32"/>
        </w:rPr>
      </w:pPr>
      <w:r>
        <w:rPr>
          <w:rFonts w:hint="eastAsia" w:ascii="黑体" w:hAnsi="黑体" w:eastAsia="黑体"/>
          <w:sz w:val="32"/>
          <w:szCs w:val="32"/>
        </w:rPr>
        <w:t>三、支出预算总体情况说明</w:t>
      </w:r>
    </w:p>
    <w:p>
      <w:pPr>
        <w:spacing w:line="560" w:lineRule="exact"/>
        <w:ind w:firstLine="640" w:firstLineChars="200"/>
        <w:rPr>
          <w:rFonts w:hint="eastAsia" w:ascii="仿宋_GB2312" w:eastAsia="仿宋_GB2312"/>
          <w:sz w:val="32"/>
          <w:szCs w:val="32"/>
        </w:rPr>
      </w:pPr>
      <w:r>
        <w:rPr>
          <w:rFonts w:hint="eastAsia" w:ascii="仿宋_GB2312" w:hAnsi="宋体" w:eastAsia="仿宋_GB2312" w:cs="Courier New"/>
          <w:sz w:val="32"/>
          <w:szCs w:val="32"/>
        </w:rPr>
        <w:t>202</w:t>
      </w:r>
      <w:r>
        <w:rPr>
          <w:rFonts w:ascii="仿宋_GB2312" w:hAnsi="宋体" w:eastAsia="仿宋_GB2312" w:cs="Courier New"/>
          <w:sz w:val="32"/>
          <w:szCs w:val="32"/>
        </w:rPr>
        <w:t>2</w:t>
      </w:r>
      <w:r>
        <w:rPr>
          <w:rFonts w:hint="eastAsia" w:ascii="仿宋_GB2312" w:hAnsi="宋体" w:eastAsia="仿宋_GB2312" w:cs="Courier New"/>
          <w:sz w:val="32"/>
          <w:szCs w:val="32"/>
        </w:rPr>
        <w:t>年支出合计</w:t>
      </w:r>
      <w:r>
        <w:rPr>
          <w:rFonts w:hint="eastAsia" w:ascii="仿宋_GB2312" w:eastAsia="仿宋_GB2312"/>
          <w:sz w:val="32"/>
          <w:szCs w:val="32"/>
          <w:lang w:val="en-US" w:eastAsia="zh-CN"/>
        </w:rPr>
        <w:t>2379.60</w:t>
      </w:r>
      <w:r>
        <w:rPr>
          <w:rFonts w:hint="eastAsia" w:ascii="仿宋_GB2312" w:hAnsi="宋体" w:eastAsia="仿宋_GB2312" w:cs="Courier New"/>
          <w:sz w:val="32"/>
          <w:szCs w:val="32"/>
        </w:rPr>
        <w:t>万元，其中：基本支出</w:t>
      </w:r>
      <w:r>
        <w:rPr>
          <w:rFonts w:hint="eastAsia" w:ascii="仿宋_GB2312" w:eastAsia="仿宋_GB2312"/>
          <w:sz w:val="32"/>
          <w:szCs w:val="32"/>
          <w:lang w:val="en-US" w:eastAsia="zh-CN"/>
        </w:rPr>
        <w:t>586.08</w:t>
      </w:r>
      <w:r>
        <w:rPr>
          <w:rFonts w:hint="eastAsia" w:ascii="仿宋_GB2312" w:hAnsi="宋体" w:eastAsia="仿宋_GB2312" w:cs="Courier New"/>
          <w:sz w:val="32"/>
          <w:szCs w:val="32"/>
        </w:rPr>
        <w:t>万元，占</w:t>
      </w:r>
      <w:r>
        <w:rPr>
          <w:rFonts w:hint="eastAsia" w:ascii="仿宋_GB2312" w:eastAsia="仿宋_GB2312"/>
          <w:sz w:val="32"/>
          <w:szCs w:val="32"/>
          <w:lang w:val="en-US" w:eastAsia="zh-CN"/>
        </w:rPr>
        <w:t>24.63</w:t>
      </w:r>
      <w:r>
        <w:rPr>
          <w:rFonts w:ascii="仿宋_GB2312" w:hAnsi="宋体" w:eastAsia="仿宋_GB2312" w:cs="Courier New"/>
          <w:sz w:val="32"/>
          <w:szCs w:val="32"/>
        </w:rPr>
        <w:t>%</w:t>
      </w:r>
      <w:r>
        <w:rPr>
          <w:rFonts w:hint="eastAsia" w:ascii="仿宋_GB2312" w:hAnsi="宋体" w:eastAsia="仿宋_GB2312" w:cs="Courier New"/>
          <w:sz w:val="32"/>
          <w:szCs w:val="32"/>
        </w:rPr>
        <w:t>；项目支出</w:t>
      </w:r>
      <w:r>
        <w:rPr>
          <w:rFonts w:hint="eastAsia" w:ascii="仿宋_GB2312" w:eastAsia="仿宋_GB2312"/>
          <w:sz w:val="32"/>
          <w:szCs w:val="32"/>
          <w:lang w:val="en-US" w:eastAsia="zh-CN"/>
        </w:rPr>
        <w:t>1793.52</w:t>
      </w:r>
      <w:r>
        <w:rPr>
          <w:rFonts w:hint="eastAsia" w:ascii="仿宋_GB2312" w:hAnsi="宋体" w:eastAsia="仿宋_GB2312" w:cs="Courier New"/>
          <w:sz w:val="32"/>
          <w:szCs w:val="32"/>
        </w:rPr>
        <w:t>万元，占</w:t>
      </w:r>
      <w:r>
        <w:rPr>
          <w:rFonts w:hint="eastAsia" w:ascii="仿宋_GB2312" w:eastAsia="仿宋_GB2312"/>
          <w:sz w:val="32"/>
          <w:szCs w:val="32"/>
          <w:lang w:val="en-US" w:eastAsia="zh-CN"/>
        </w:rPr>
        <w:t>75.37</w:t>
      </w:r>
      <w:r>
        <w:rPr>
          <w:rFonts w:ascii="仿宋_GB2312" w:hAnsi="宋体" w:eastAsia="仿宋_GB2312" w:cs="Courier New"/>
          <w:sz w:val="32"/>
          <w:szCs w:val="32"/>
        </w:rPr>
        <w:t>%</w:t>
      </w:r>
      <w:r>
        <w:rPr>
          <w:rFonts w:hint="eastAsia" w:ascii="仿宋_GB2312" w:hAnsi="宋体" w:eastAsia="仿宋_GB2312" w:cs="Courier New"/>
          <w:sz w:val="32"/>
          <w:szCs w:val="32"/>
        </w:rPr>
        <w:t>。</w:t>
      </w:r>
    </w:p>
    <w:p>
      <w:pPr>
        <w:spacing w:line="560" w:lineRule="exact"/>
        <w:ind w:firstLine="640" w:firstLineChars="200"/>
        <w:rPr>
          <w:rFonts w:hint="eastAsia" w:ascii="仿宋_GB2312" w:eastAsia="仿宋_GB2312"/>
          <w:sz w:val="32"/>
          <w:szCs w:val="32"/>
        </w:rPr>
      </w:pPr>
      <w:r>
        <w:rPr>
          <w:rFonts w:hint="eastAsia" w:ascii="黑体" w:hAnsi="黑体" w:eastAsia="黑体"/>
          <w:sz w:val="32"/>
          <w:szCs w:val="32"/>
        </w:rPr>
        <w:t>四、财政拨款收入支出总体情况说明</w:t>
      </w:r>
    </w:p>
    <w:p>
      <w:pPr>
        <w:spacing w:line="560" w:lineRule="exact"/>
        <w:ind w:firstLine="640" w:firstLineChars="200"/>
        <w:rPr>
          <w:rFonts w:hint="eastAsia" w:ascii="仿宋_GB2312" w:hAnsi="宋体" w:eastAsia="仿宋_GB2312" w:cs="Courier New"/>
          <w:sz w:val="32"/>
          <w:szCs w:val="32"/>
        </w:rPr>
      </w:pPr>
      <w:r>
        <w:rPr>
          <w:rFonts w:ascii="仿宋_GB2312" w:hAnsi="宋体" w:eastAsia="仿宋_GB2312" w:cs="Courier New"/>
          <w:sz w:val="32"/>
          <w:szCs w:val="32"/>
        </w:rPr>
        <w:t>2022年</w:t>
      </w:r>
      <w:r>
        <w:rPr>
          <w:rFonts w:hint="eastAsia" w:ascii="仿宋_GB2312" w:hAnsi="宋体" w:eastAsia="仿宋_GB2312" w:cs="Courier New"/>
          <w:sz w:val="32"/>
          <w:szCs w:val="32"/>
        </w:rPr>
        <w:t>一般公共预算收支预算</w:t>
      </w:r>
      <w:r>
        <w:rPr>
          <w:rFonts w:hint="eastAsia" w:ascii="仿宋_GB2312" w:eastAsia="仿宋_GB2312"/>
          <w:sz w:val="32"/>
          <w:szCs w:val="32"/>
          <w:lang w:val="en-US" w:eastAsia="zh-CN"/>
        </w:rPr>
        <w:t>2379.60</w:t>
      </w:r>
      <w:r>
        <w:rPr>
          <w:rFonts w:hint="eastAsia" w:ascii="仿宋_GB2312" w:hAnsi="宋体" w:eastAsia="仿宋_GB2312" w:cs="Courier New"/>
          <w:sz w:val="32"/>
          <w:szCs w:val="32"/>
        </w:rPr>
        <w:t>万元，政府性基金收支预算</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万元。与</w:t>
      </w:r>
      <w:r>
        <w:rPr>
          <w:rFonts w:ascii="仿宋_GB2312" w:hAnsi="宋体" w:eastAsia="仿宋_GB2312" w:cs="Courier New"/>
          <w:sz w:val="32"/>
          <w:szCs w:val="32"/>
        </w:rPr>
        <w:t xml:space="preserve"> 2021</w:t>
      </w:r>
      <w:r>
        <w:rPr>
          <w:rFonts w:hint="eastAsia" w:ascii="仿宋_GB2312" w:hAnsi="宋体" w:eastAsia="仿宋_GB2312" w:cs="Courier New"/>
          <w:sz w:val="32"/>
          <w:szCs w:val="32"/>
        </w:rPr>
        <w:t>年相比，一般公共预算收支预算减少</w:t>
      </w:r>
      <w:r>
        <w:rPr>
          <w:rFonts w:hint="eastAsia" w:ascii="仿宋_GB2312" w:eastAsia="仿宋_GB2312"/>
          <w:sz w:val="32"/>
          <w:szCs w:val="32"/>
          <w:lang w:val="en-US" w:eastAsia="zh-CN"/>
        </w:rPr>
        <w:t>710.99</w:t>
      </w:r>
      <w:r>
        <w:rPr>
          <w:rFonts w:hint="eastAsia" w:ascii="仿宋_GB2312" w:hAnsi="宋体" w:eastAsia="仿宋_GB2312" w:cs="Courier New"/>
          <w:sz w:val="32"/>
          <w:szCs w:val="32"/>
        </w:rPr>
        <w:t>万元，下降</w:t>
      </w:r>
      <w:r>
        <w:rPr>
          <w:rFonts w:hint="eastAsia" w:ascii="仿宋_GB2312" w:hAnsi="宋体" w:eastAsia="仿宋_GB2312" w:cs="Courier New"/>
          <w:sz w:val="32"/>
          <w:szCs w:val="32"/>
          <w:lang w:val="en-US" w:eastAsia="zh-CN"/>
        </w:rPr>
        <w:t>23.00</w:t>
      </w:r>
      <w:r>
        <w:rPr>
          <w:rFonts w:ascii="仿宋_GB2312" w:hAnsi="宋体" w:eastAsia="仿宋_GB2312" w:cs="Courier New"/>
          <w:sz w:val="32"/>
          <w:szCs w:val="32"/>
        </w:rPr>
        <w:t>%</w:t>
      </w:r>
      <w:r>
        <w:rPr>
          <w:rFonts w:hint="eastAsia" w:ascii="仿宋_GB2312" w:hAnsi="宋体" w:eastAsia="仿宋_GB2312" w:cs="Courier New"/>
          <w:sz w:val="32"/>
          <w:szCs w:val="32"/>
        </w:rPr>
        <w:t>，主要原因：</w:t>
      </w:r>
      <w:r>
        <w:rPr>
          <w:rFonts w:hint="eastAsia" w:ascii="仿宋_GB2312" w:hAnsi="宋体" w:eastAsia="仿宋_GB2312" w:cs="Courier New"/>
          <w:color w:val="auto"/>
          <w:sz w:val="32"/>
          <w:szCs w:val="32"/>
          <w:u w:val="none"/>
          <w:lang w:val="en-US" w:eastAsia="zh-CN"/>
        </w:rPr>
        <w:t>2021年有救灾物资建设项目，今年没有此项目</w:t>
      </w:r>
      <w:r>
        <w:rPr>
          <w:rFonts w:hint="eastAsia" w:ascii="仿宋_GB2312" w:hAnsi="宋体" w:eastAsia="仿宋_GB2312" w:cs="Courier New"/>
          <w:sz w:val="32"/>
          <w:szCs w:val="32"/>
        </w:rPr>
        <w:t>；政府性基金收支预算增加（减少）</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万元，主要原因：</w:t>
      </w:r>
      <w:r>
        <w:rPr>
          <w:rFonts w:hint="eastAsia" w:ascii="仿宋_GB2312" w:hAnsi="宋体" w:eastAsia="仿宋_GB2312" w:cs="Courier New"/>
          <w:sz w:val="32"/>
          <w:szCs w:val="32"/>
          <w:lang w:eastAsia="zh-CN"/>
        </w:rPr>
        <w:t>无变化。</w:t>
      </w:r>
    </w:p>
    <w:p>
      <w:pPr>
        <w:spacing w:line="560" w:lineRule="exact"/>
        <w:ind w:firstLine="640" w:firstLineChars="200"/>
        <w:rPr>
          <w:rFonts w:hint="eastAsia" w:ascii="仿宋_GB2312" w:eastAsia="仿宋_GB2312"/>
          <w:sz w:val="32"/>
          <w:szCs w:val="32"/>
        </w:rPr>
      </w:pPr>
      <w:r>
        <w:rPr>
          <w:rFonts w:hint="eastAsia" w:ascii="黑体" w:hAnsi="黑体" w:eastAsia="黑体"/>
          <w:sz w:val="32"/>
          <w:szCs w:val="32"/>
        </w:rPr>
        <w:t>五、一般公共预算支出情况说明</w:t>
      </w:r>
    </w:p>
    <w:p>
      <w:pPr>
        <w:spacing w:line="560" w:lineRule="exact"/>
        <w:ind w:firstLine="640" w:firstLineChars="200"/>
        <w:rPr>
          <w:rFonts w:hint="eastAsia" w:ascii="仿宋_GB2312" w:hAnsi="宋体" w:eastAsia="仿宋_GB2312" w:cs="Courier New"/>
          <w:sz w:val="32"/>
          <w:szCs w:val="32"/>
          <w:lang w:val="en-US" w:eastAsia="zh-CN"/>
        </w:rPr>
      </w:pPr>
      <w:r>
        <w:rPr>
          <w:rFonts w:hint="eastAsia" w:ascii="仿宋_GB2312" w:hAnsi="宋体" w:eastAsia="仿宋_GB2312" w:cs="Courier New"/>
          <w:sz w:val="32"/>
          <w:szCs w:val="32"/>
          <w:lang w:eastAsia="zh-CN"/>
        </w:rPr>
        <w:t>新乡市粮食和物资储备局</w:t>
      </w:r>
      <w:r>
        <w:rPr>
          <w:rFonts w:hint="eastAsia" w:ascii="仿宋_GB2312" w:hAnsi="宋体" w:eastAsia="仿宋_GB2312" w:cs="Courier New"/>
          <w:sz w:val="32"/>
          <w:szCs w:val="32"/>
          <w:lang w:val="en-US" w:eastAsia="zh-CN"/>
        </w:rPr>
        <w:t>2022年一般公共预算支出年初预算为2379.60万元。主要用于以下方面：社会保障和就业（类）支出148.21万元，占6.23%；卫生健康（类）支出30.80万元，占1.29%；粮油物资储备（类）支出2200.59万元，占92.48%。</w:t>
      </w:r>
    </w:p>
    <w:p>
      <w:pPr>
        <w:spacing w:line="560" w:lineRule="exact"/>
        <w:ind w:firstLine="640" w:firstLineChars="200"/>
        <w:rPr>
          <w:rFonts w:hint="eastAsia" w:ascii="仿宋_GB2312" w:eastAsia="仿宋_GB2312"/>
          <w:sz w:val="32"/>
          <w:szCs w:val="32"/>
        </w:rPr>
      </w:pPr>
      <w:r>
        <w:rPr>
          <w:rFonts w:hint="eastAsia" w:ascii="黑体" w:hAnsi="黑体" w:eastAsia="黑体"/>
          <w:sz w:val="32"/>
          <w:szCs w:val="32"/>
        </w:rPr>
        <w:t>六、一般公共预算基本支出情况说明</w:t>
      </w:r>
    </w:p>
    <w:p>
      <w:pPr>
        <w:spacing w:line="560" w:lineRule="exact"/>
        <w:ind w:firstLine="640" w:firstLineChars="200"/>
        <w:rPr>
          <w:rFonts w:hint="eastAsia" w:ascii="仿宋_GB2312" w:eastAsia="仿宋_GB2312"/>
          <w:sz w:val="32"/>
          <w:szCs w:val="32"/>
        </w:rPr>
      </w:pPr>
      <w:r>
        <w:rPr>
          <w:rFonts w:ascii="仿宋_GB2312" w:hAnsi="宋体" w:eastAsia="仿宋_GB2312" w:cs="Courier New"/>
          <w:sz w:val="32"/>
          <w:szCs w:val="32"/>
        </w:rPr>
        <w:t>2022</w:t>
      </w:r>
      <w:r>
        <w:rPr>
          <w:rFonts w:hint="eastAsia" w:ascii="仿宋_GB2312" w:hAnsi="宋体" w:eastAsia="仿宋_GB2312" w:cs="Courier New"/>
          <w:sz w:val="32"/>
          <w:szCs w:val="32"/>
        </w:rPr>
        <w:t>年一般公共预算基本支出年初预算为</w:t>
      </w:r>
      <w:r>
        <w:rPr>
          <w:rFonts w:hint="eastAsia" w:ascii="仿宋_GB2312" w:eastAsia="仿宋_GB2312"/>
          <w:sz w:val="32"/>
          <w:szCs w:val="32"/>
          <w:lang w:val="en-US" w:eastAsia="zh-CN"/>
        </w:rPr>
        <w:t>586.08</w:t>
      </w:r>
      <w:r>
        <w:rPr>
          <w:rFonts w:hint="eastAsia" w:ascii="仿宋_GB2312" w:hAnsi="宋体" w:eastAsia="仿宋_GB2312" w:cs="Courier New"/>
          <w:sz w:val="32"/>
          <w:szCs w:val="32"/>
        </w:rPr>
        <w:t>万元。其中：人员经费支出</w:t>
      </w:r>
      <w:r>
        <w:rPr>
          <w:rFonts w:hint="eastAsia" w:ascii="仿宋_GB2312" w:hAnsi="宋体" w:eastAsia="仿宋_GB2312" w:cs="Courier New"/>
          <w:sz w:val="32"/>
          <w:szCs w:val="32"/>
          <w:lang w:val="en-US" w:eastAsia="zh-CN"/>
        </w:rPr>
        <w:t>531.19</w:t>
      </w:r>
      <w:r>
        <w:rPr>
          <w:rFonts w:hint="eastAsia" w:ascii="仿宋_GB2312" w:hAnsi="宋体" w:eastAsia="仿宋_GB2312" w:cs="Courier New"/>
          <w:sz w:val="32"/>
          <w:szCs w:val="32"/>
        </w:rPr>
        <w:t>万元，占</w:t>
      </w:r>
      <w:r>
        <w:rPr>
          <w:rFonts w:hint="eastAsia" w:ascii="仿宋_GB2312" w:hAnsi="宋体" w:eastAsia="仿宋_GB2312" w:cs="Courier New"/>
          <w:sz w:val="32"/>
          <w:szCs w:val="32"/>
          <w:lang w:val="en-US" w:eastAsia="zh-CN"/>
        </w:rPr>
        <w:t>90.63</w:t>
      </w:r>
      <w:r>
        <w:rPr>
          <w:rFonts w:hint="eastAsia" w:ascii="仿宋_GB2312" w:hAnsi="宋体" w:eastAsia="仿宋_GB2312" w:cs="Courier New"/>
          <w:sz w:val="32"/>
          <w:szCs w:val="32"/>
        </w:rPr>
        <w:t>%；公用经费支出</w:t>
      </w:r>
      <w:r>
        <w:rPr>
          <w:rFonts w:hint="eastAsia" w:ascii="仿宋_GB2312" w:hAnsi="宋体" w:eastAsia="仿宋_GB2312" w:cs="Courier New"/>
          <w:sz w:val="32"/>
          <w:szCs w:val="32"/>
          <w:lang w:val="en-US" w:eastAsia="zh-CN"/>
        </w:rPr>
        <w:t>54.89</w:t>
      </w:r>
      <w:r>
        <w:rPr>
          <w:rFonts w:hint="eastAsia" w:ascii="仿宋_GB2312" w:hAnsi="宋体" w:eastAsia="仿宋_GB2312" w:cs="Courier New"/>
          <w:sz w:val="32"/>
          <w:szCs w:val="32"/>
        </w:rPr>
        <w:t>万元，占</w:t>
      </w:r>
      <w:r>
        <w:rPr>
          <w:rFonts w:hint="eastAsia" w:ascii="仿宋_GB2312" w:hAnsi="宋体" w:eastAsia="仿宋_GB2312" w:cs="Courier New"/>
          <w:sz w:val="32"/>
          <w:szCs w:val="32"/>
          <w:lang w:val="en-US" w:eastAsia="zh-CN"/>
        </w:rPr>
        <w:t>9.37</w:t>
      </w:r>
      <w:r>
        <w:rPr>
          <w:rFonts w:hint="eastAsia" w:ascii="仿宋_GB2312" w:hAnsi="宋体" w:eastAsia="仿宋_GB2312" w:cs="Courier New"/>
          <w:sz w:val="32"/>
          <w:szCs w:val="32"/>
        </w:rPr>
        <w:t>%。</w:t>
      </w:r>
    </w:p>
    <w:p>
      <w:pPr>
        <w:spacing w:line="560" w:lineRule="exact"/>
        <w:ind w:firstLine="640" w:firstLineChars="200"/>
        <w:rPr>
          <w:rFonts w:hint="eastAsia" w:ascii="仿宋_GB2312" w:eastAsia="仿宋_GB2312"/>
          <w:sz w:val="32"/>
          <w:szCs w:val="32"/>
        </w:rPr>
      </w:pPr>
      <w:r>
        <w:rPr>
          <w:rFonts w:hint="eastAsia" w:ascii="黑体" w:hAnsi="Times New Roman" w:eastAsia="黑体" w:cs="黑体"/>
          <w:kern w:val="0"/>
          <w:sz w:val="32"/>
          <w:szCs w:val="32"/>
        </w:rPr>
        <w:t>七、 “三公”经费支出情况说明</w:t>
      </w:r>
    </w:p>
    <w:p>
      <w:pPr>
        <w:spacing w:line="560" w:lineRule="exact"/>
        <w:ind w:firstLine="640" w:firstLineChars="200"/>
        <w:rPr>
          <w:rFonts w:hint="eastAsia" w:ascii="仿宋_GB2312" w:eastAsia="仿宋_GB2312"/>
          <w:sz w:val="32"/>
          <w:szCs w:val="32"/>
        </w:rPr>
      </w:pPr>
      <w:r>
        <w:rPr>
          <w:rFonts w:hint="eastAsia" w:ascii="仿宋_GB2312" w:hAnsi="宋体" w:eastAsia="仿宋_GB2312" w:cs="Courier New"/>
          <w:sz w:val="32"/>
          <w:szCs w:val="32"/>
        </w:rPr>
        <w:t>202</w:t>
      </w:r>
      <w:r>
        <w:rPr>
          <w:rFonts w:ascii="仿宋_GB2312" w:hAnsi="宋体" w:eastAsia="仿宋_GB2312" w:cs="Courier New"/>
          <w:sz w:val="32"/>
          <w:szCs w:val="32"/>
        </w:rPr>
        <w:t>2</w:t>
      </w:r>
      <w:r>
        <w:rPr>
          <w:rFonts w:hint="eastAsia" w:ascii="仿宋_GB2312" w:hAnsi="宋体" w:eastAsia="仿宋_GB2312" w:cs="Courier New"/>
          <w:sz w:val="32"/>
          <w:szCs w:val="32"/>
        </w:rPr>
        <w:t>年“三公”经费预算为</w:t>
      </w:r>
      <w:r>
        <w:rPr>
          <w:rFonts w:hint="eastAsia" w:ascii="仿宋_GB2312" w:eastAsia="仿宋_GB2312"/>
          <w:sz w:val="32"/>
          <w:szCs w:val="32"/>
          <w:lang w:val="en-US" w:eastAsia="zh-CN"/>
        </w:rPr>
        <w:t>2.10</w:t>
      </w:r>
      <w:r>
        <w:rPr>
          <w:rFonts w:hint="eastAsia" w:ascii="仿宋_GB2312" w:hAnsi="宋体" w:eastAsia="仿宋_GB2312" w:cs="Courier New"/>
          <w:sz w:val="32"/>
          <w:szCs w:val="32"/>
        </w:rPr>
        <w:t>万元。202</w:t>
      </w:r>
      <w:r>
        <w:rPr>
          <w:rFonts w:ascii="仿宋_GB2312" w:hAnsi="宋体" w:eastAsia="仿宋_GB2312" w:cs="Courier New"/>
          <w:sz w:val="32"/>
          <w:szCs w:val="32"/>
        </w:rPr>
        <w:t>2</w:t>
      </w:r>
      <w:r>
        <w:rPr>
          <w:rFonts w:hint="eastAsia" w:ascii="仿宋_GB2312" w:hAnsi="宋体" w:eastAsia="仿宋_GB2312" w:cs="Courier New"/>
          <w:sz w:val="32"/>
          <w:szCs w:val="32"/>
        </w:rPr>
        <w:t>年“三公”经费支出预算数比 20</w:t>
      </w:r>
      <w:r>
        <w:rPr>
          <w:rFonts w:ascii="仿宋_GB2312" w:hAnsi="宋体" w:eastAsia="仿宋_GB2312" w:cs="Courier New"/>
          <w:sz w:val="32"/>
          <w:szCs w:val="32"/>
        </w:rPr>
        <w:t>21</w:t>
      </w:r>
      <w:r>
        <w:rPr>
          <w:rFonts w:hint="eastAsia" w:ascii="仿宋_GB2312" w:hAnsi="宋体" w:eastAsia="仿宋_GB2312" w:cs="Courier New"/>
          <w:sz w:val="32"/>
          <w:szCs w:val="32"/>
        </w:rPr>
        <w:t>年增加（减少）</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w:t>
      </w:r>
    </w:p>
    <w:p>
      <w:pPr>
        <w:kinsoku w:val="0"/>
        <w:overflowPunct w:val="0"/>
        <w:autoSpaceDE w:val="0"/>
        <w:autoSpaceDN w:val="0"/>
        <w:adjustRightInd w:val="0"/>
        <w:snapToGrid w:val="0"/>
        <w:spacing w:line="360" w:lineRule="auto"/>
        <w:ind w:firstLine="640" w:firstLineChars="200"/>
        <w:rPr>
          <w:rFonts w:ascii="仿宋_GB2312" w:hAnsi="宋体" w:eastAsia="仿宋_GB2312" w:cs="Courier New"/>
          <w:sz w:val="32"/>
          <w:szCs w:val="32"/>
        </w:rPr>
      </w:pPr>
      <w:r>
        <w:rPr>
          <w:rFonts w:hint="eastAsia" w:ascii="仿宋_GB2312" w:hAnsi="宋体" w:eastAsia="仿宋_GB2312" w:cs="Courier New"/>
          <w:sz w:val="32"/>
          <w:szCs w:val="32"/>
        </w:rPr>
        <w:t>具体支出情况如下：</w:t>
      </w:r>
    </w:p>
    <w:p>
      <w:pPr>
        <w:kinsoku w:val="0"/>
        <w:overflowPunct w:val="0"/>
        <w:autoSpaceDE w:val="0"/>
        <w:autoSpaceDN w:val="0"/>
        <w:adjustRightInd w:val="0"/>
        <w:snapToGrid w:val="0"/>
        <w:spacing w:line="360" w:lineRule="auto"/>
        <w:ind w:firstLine="639" w:firstLineChars="200"/>
        <w:rPr>
          <w:rFonts w:hint="eastAsia" w:ascii="仿宋_GB2312" w:hAnsi="宋体" w:eastAsia="仿宋_GB2312" w:cs="Courier New"/>
          <w:sz w:val="32"/>
          <w:szCs w:val="32"/>
        </w:rPr>
      </w:pPr>
      <w:r>
        <w:rPr>
          <w:rFonts w:hint="eastAsia" w:ascii="仿宋_GB2312" w:hAnsi="Times New Roman" w:eastAsia="仿宋_GB2312" w:cs="仿宋_GB2312"/>
          <w:b/>
          <w:spacing w:val="-1"/>
          <w:kern w:val="0"/>
          <w:sz w:val="32"/>
          <w:szCs w:val="32"/>
        </w:rPr>
        <w:t>（一）因公出国（境）费</w:t>
      </w:r>
      <w:r>
        <w:rPr>
          <w:rFonts w:hint="eastAsia" w:ascii="仿宋_GB2312" w:eastAsia="仿宋_GB2312"/>
          <w:sz w:val="32"/>
          <w:szCs w:val="32"/>
          <w:lang w:val="en-US" w:eastAsia="zh-CN"/>
        </w:rPr>
        <w:t>0</w:t>
      </w:r>
      <w:r>
        <w:rPr>
          <w:rFonts w:hint="eastAsia" w:ascii="仿宋_GB2312" w:hAnsi="Times New Roman" w:eastAsia="仿宋_GB2312" w:cs="仿宋_GB2312"/>
          <w:spacing w:val="-1"/>
          <w:kern w:val="0"/>
          <w:sz w:val="32"/>
          <w:szCs w:val="32"/>
        </w:rPr>
        <w:t>万元，</w:t>
      </w:r>
      <w:r>
        <w:rPr>
          <w:rFonts w:hint="eastAsia" w:ascii="仿宋_GB2312" w:hAnsi="宋体" w:eastAsia="仿宋_GB2312" w:cs="Courier New"/>
          <w:sz w:val="32"/>
          <w:szCs w:val="32"/>
        </w:rPr>
        <w:t>主要用于单位工作人员公务出国（境）的住宿费、旅费、伙食补助费、杂费、培训费等支出。预算数比 20</w:t>
      </w:r>
      <w:r>
        <w:rPr>
          <w:rFonts w:ascii="仿宋_GB2312" w:hAnsi="宋体" w:eastAsia="仿宋_GB2312" w:cs="Courier New"/>
          <w:sz w:val="32"/>
          <w:szCs w:val="32"/>
        </w:rPr>
        <w:t>21</w:t>
      </w:r>
      <w:r>
        <w:rPr>
          <w:rFonts w:hint="eastAsia" w:ascii="仿宋_GB2312" w:hAnsi="宋体" w:eastAsia="仿宋_GB2312" w:cs="Courier New"/>
          <w:sz w:val="32"/>
          <w:szCs w:val="32"/>
        </w:rPr>
        <w:t>年增加（减少）</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万元。主要原因：</w:t>
      </w:r>
      <w:r>
        <w:rPr>
          <w:rFonts w:hint="eastAsia" w:ascii="仿宋_GB2312" w:hAnsi="宋体" w:eastAsia="仿宋_GB2312" w:cs="Courier New"/>
          <w:sz w:val="32"/>
          <w:szCs w:val="32"/>
          <w:lang w:eastAsia="zh-CN"/>
        </w:rPr>
        <w:t>无变化</w:t>
      </w:r>
      <w:r>
        <w:rPr>
          <w:rFonts w:hint="eastAsia" w:ascii="仿宋_GB2312" w:hAnsi="宋体" w:eastAsia="仿宋_GB2312" w:cs="Courier New"/>
          <w:sz w:val="32"/>
          <w:szCs w:val="32"/>
        </w:rPr>
        <w:t>。</w:t>
      </w:r>
    </w:p>
    <w:p>
      <w:pPr>
        <w:kinsoku w:val="0"/>
        <w:overflowPunct w:val="0"/>
        <w:autoSpaceDE w:val="0"/>
        <w:autoSpaceDN w:val="0"/>
        <w:adjustRightInd w:val="0"/>
        <w:snapToGrid w:val="0"/>
        <w:spacing w:line="360" w:lineRule="auto"/>
        <w:ind w:firstLine="639" w:firstLineChars="200"/>
        <w:rPr>
          <w:rFonts w:hint="eastAsia" w:ascii="仿宋_GB2312" w:hAnsi="宋体" w:eastAsia="仿宋_GB2312" w:cs="Courier New"/>
          <w:sz w:val="32"/>
          <w:szCs w:val="32"/>
        </w:rPr>
      </w:pPr>
      <w:r>
        <w:rPr>
          <w:rFonts w:hint="eastAsia" w:ascii="仿宋_GB2312" w:hAnsi="Times New Roman" w:eastAsia="仿宋_GB2312" w:cs="仿宋_GB2312"/>
          <w:b/>
          <w:spacing w:val="-1"/>
          <w:kern w:val="0"/>
          <w:sz w:val="32"/>
          <w:szCs w:val="32"/>
        </w:rPr>
        <w:t>（二）公务接待费</w:t>
      </w:r>
      <w:r>
        <w:rPr>
          <w:rFonts w:hint="eastAsia" w:ascii="仿宋_GB2312" w:eastAsia="仿宋_GB2312"/>
          <w:sz w:val="32"/>
          <w:szCs w:val="32"/>
          <w:lang w:val="en-US" w:eastAsia="zh-CN"/>
        </w:rPr>
        <w:t>0.80</w:t>
      </w:r>
      <w:r>
        <w:rPr>
          <w:rFonts w:hint="eastAsia" w:ascii="仿宋_GB2312" w:hAnsi="宋体" w:eastAsia="仿宋_GB2312" w:cs="Courier New"/>
          <w:sz w:val="32"/>
          <w:szCs w:val="32"/>
        </w:rPr>
        <w:t>万元，主要用于按规定开支的各类公务接待（含外宾接待）支出。预算数比 20</w:t>
      </w:r>
      <w:r>
        <w:rPr>
          <w:rFonts w:ascii="仿宋_GB2312" w:hAnsi="宋体" w:eastAsia="仿宋_GB2312" w:cs="Courier New"/>
          <w:sz w:val="32"/>
          <w:szCs w:val="32"/>
        </w:rPr>
        <w:t>21</w:t>
      </w:r>
      <w:r>
        <w:rPr>
          <w:rFonts w:hint="eastAsia" w:ascii="仿宋_GB2312" w:hAnsi="宋体" w:eastAsia="仿宋_GB2312" w:cs="Courier New"/>
          <w:sz w:val="32"/>
          <w:szCs w:val="32"/>
        </w:rPr>
        <w:t>年增加（减少）</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万元。主要原因：</w:t>
      </w:r>
      <w:r>
        <w:rPr>
          <w:rFonts w:hint="eastAsia" w:ascii="仿宋_GB2312" w:hAnsi="宋体" w:eastAsia="仿宋_GB2312" w:cs="Courier New"/>
          <w:sz w:val="32"/>
          <w:szCs w:val="32"/>
          <w:lang w:eastAsia="zh-CN"/>
        </w:rPr>
        <w:t>无变化</w:t>
      </w:r>
      <w:r>
        <w:rPr>
          <w:rFonts w:hint="eastAsia" w:ascii="仿宋_GB2312" w:hAnsi="宋体" w:eastAsia="仿宋_GB2312" w:cs="Courier New"/>
          <w:sz w:val="32"/>
          <w:szCs w:val="32"/>
        </w:rPr>
        <w:t>。</w:t>
      </w:r>
    </w:p>
    <w:p>
      <w:pPr>
        <w:kinsoku w:val="0"/>
        <w:overflowPunct w:val="0"/>
        <w:autoSpaceDE w:val="0"/>
        <w:autoSpaceDN w:val="0"/>
        <w:adjustRightInd w:val="0"/>
        <w:snapToGrid w:val="0"/>
        <w:spacing w:line="360" w:lineRule="auto"/>
        <w:ind w:firstLine="639" w:firstLineChars="200"/>
        <w:rPr>
          <w:rFonts w:hint="eastAsia" w:ascii="仿宋_GB2312" w:hAnsi="宋体" w:eastAsia="仿宋_GB2312" w:cs="Courier New"/>
          <w:sz w:val="32"/>
          <w:szCs w:val="32"/>
        </w:rPr>
      </w:pPr>
      <w:r>
        <w:rPr>
          <w:rFonts w:hint="eastAsia" w:ascii="仿宋_GB2312" w:hAnsi="Times New Roman" w:eastAsia="仿宋_GB2312" w:cs="仿宋_GB2312"/>
          <w:b/>
          <w:spacing w:val="-1"/>
          <w:kern w:val="0"/>
          <w:sz w:val="32"/>
          <w:szCs w:val="32"/>
        </w:rPr>
        <w:t>（三）公务用车购置及运行费</w:t>
      </w:r>
      <w:r>
        <w:rPr>
          <w:rFonts w:hint="eastAsia" w:ascii="仿宋_GB2312" w:eastAsia="仿宋_GB2312"/>
          <w:sz w:val="32"/>
          <w:szCs w:val="32"/>
          <w:lang w:val="en-US" w:eastAsia="zh-CN"/>
        </w:rPr>
        <w:t>1.30</w:t>
      </w:r>
      <w:r>
        <w:rPr>
          <w:rFonts w:hint="eastAsia" w:ascii="仿宋_GB2312" w:hAnsi="Times New Roman" w:eastAsia="仿宋_GB2312" w:cs="仿宋_GB2312"/>
          <w:kern w:val="0"/>
          <w:sz w:val="32"/>
          <w:szCs w:val="32"/>
        </w:rPr>
        <w:t>万</w:t>
      </w:r>
      <w:r>
        <w:rPr>
          <w:rFonts w:hint="eastAsia" w:ascii="仿宋_GB2312" w:hAnsi="宋体" w:eastAsia="仿宋_GB2312" w:cs="Courier New"/>
          <w:sz w:val="32"/>
          <w:szCs w:val="32"/>
        </w:rPr>
        <w:t>元，其中，公务用车购置费</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万元；公务用车运行维护费</w:t>
      </w:r>
      <w:r>
        <w:rPr>
          <w:rFonts w:hint="eastAsia" w:ascii="仿宋_GB2312" w:eastAsia="仿宋_GB2312"/>
          <w:sz w:val="32"/>
          <w:szCs w:val="32"/>
          <w:lang w:val="en-US" w:eastAsia="zh-CN"/>
        </w:rPr>
        <w:t>1.30</w:t>
      </w:r>
      <w:r>
        <w:rPr>
          <w:rFonts w:hint="eastAsia" w:ascii="仿宋_GB2312" w:hAnsi="宋体" w:eastAsia="仿宋_GB2312" w:cs="Courier New"/>
          <w:sz w:val="32"/>
          <w:szCs w:val="32"/>
        </w:rPr>
        <w:t>万元，主要用于开展工作所需公务用车的燃料费、维修费、过路过桥费、保险费、安全奖励费用等支出。公务用车购置费预算数比 202</w:t>
      </w:r>
      <w:r>
        <w:rPr>
          <w:rFonts w:ascii="仿宋_GB2312" w:hAnsi="宋体" w:eastAsia="仿宋_GB2312" w:cs="Courier New"/>
          <w:sz w:val="32"/>
          <w:szCs w:val="32"/>
        </w:rPr>
        <w:t>1</w:t>
      </w:r>
      <w:r>
        <w:rPr>
          <w:rFonts w:hint="eastAsia" w:ascii="仿宋_GB2312" w:hAnsi="宋体" w:eastAsia="仿宋_GB2312" w:cs="Courier New"/>
          <w:sz w:val="32"/>
          <w:szCs w:val="32"/>
        </w:rPr>
        <w:t>年增加（减少）</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万元，主要原因：</w:t>
      </w:r>
      <w:r>
        <w:rPr>
          <w:rFonts w:hint="eastAsia" w:ascii="仿宋_GB2312" w:hAnsi="宋体" w:eastAsia="仿宋_GB2312" w:cs="Courier New"/>
          <w:sz w:val="32"/>
          <w:szCs w:val="32"/>
          <w:lang w:eastAsia="zh-CN"/>
        </w:rPr>
        <w:t>无变化</w:t>
      </w:r>
      <w:r>
        <w:rPr>
          <w:rFonts w:hint="eastAsia" w:ascii="仿宋_GB2312" w:hAnsi="宋体" w:eastAsia="仿宋_GB2312" w:cs="Courier New"/>
          <w:sz w:val="32"/>
          <w:szCs w:val="32"/>
        </w:rPr>
        <w:t>。公务用车运行维护费预算数比 20</w:t>
      </w:r>
      <w:r>
        <w:rPr>
          <w:rFonts w:ascii="仿宋_GB2312" w:hAnsi="宋体" w:eastAsia="仿宋_GB2312" w:cs="Courier New"/>
          <w:sz w:val="32"/>
          <w:szCs w:val="32"/>
        </w:rPr>
        <w:t>21</w:t>
      </w:r>
      <w:r>
        <w:rPr>
          <w:rFonts w:hint="eastAsia" w:ascii="仿宋_GB2312" w:hAnsi="宋体" w:eastAsia="仿宋_GB2312" w:cs="Courier New"/>
          <w:sz w:val="32"/>
          <w:szCs w:val="32"/>
        </w:rPr>
        <w:t>年增加（减少）</w:t>
      </w:r>
      <w:r>
        <w:rPr>
          <w:rFonts w:hint="eastAsia" w:ascii="仿宋_GB2312" w:eastAsia="仿宋_GB2312"/>
          <w:sz w:val="32"/>
          <w:szCs w:val="32"/>
          <w:lang w:val="en-US" w:eastAsia="zh-CN"/>
        </w:rPr>
        <w:t>0</w:t>
      </w:r>
      <w:r>
        <w:rPr>
          <w:rFonts w:hint="eastAsia" w:ascii="仿宋_GB2312" w:hAnsi="宋体" w:eastAsia="仿宋_GB2312" w:cs="Courier New"/>
          <w:sz w:val="32"/>
          <w:szCs w:val="32"/>
        </w:rPr>
        <w:t>万元，主要原因：</w:t>
      </w:r>
      <w:r>
        <w:rPr>
          <w:rFonts w:hint="eastAsia" w:ascii="仿宋_GB2312" w:hAnsi="宋体" w:eastAsia="仿宋_GB2312" w:cs="Courier New"/>
          <w:sz w:val="32"/>
          <w:szCs w:val="32"/>
          <w:lang w:eastAsia="zh-CN"/>
        </w:rPr>
        <w:t>无变化</w:t>
      </w:r>
      <w:r>
        <w:rPr>
          <w:rFonts w:hint="eastAsia" w:ascii="仿宋_GB2312" w:hAnsi="宋体" w:eastAsia="仿宋_GB2312" w:cs="Courier New"/>
          <w:sz w:val="32"/>
          <w:szCs w:val="32"/>
        </w:rPr>
        <w:t>。</w:t>
      </w:r>
    </w:p>
    <w:p>
      <w:pPr>
        <w:spacing w:line="560" w:lineRule="exact"/>
        <w:ind w:firstLine="640" w:firstLineChars="200"/>
        <w:rPr>
          <w:rFonts w:hint="eastAsia" w:ascii="仿宋_GB2312" w:eastAsia="仿宋_GB2312"/>
          <w:sz w:val="32"/>
          <w:szCs w:val="32"/>
        </w:rPr>
      </w:pPr>
      <w:r>
        <w:rPr>
          <w:rFonts w:hint="eastAsia" w:ascii="黑体" w:hAnsi="Times New Roman" w:eastAsia="黑体" w:cs="黑体"/>
          <w:kern w:val="0"/>
          <w:sz w:val="32"/>
          <w:szCs w:val="32"/>
        </w:rPr>
        <w:t>八、政府性基金预算支出情况说明</w:t>
      </w:r>
    </w:p>
    <w:p>
      <w:pPr>
        <w:keepNext w:val="0"/>
        <w:keepLines w:val="0"/>
        <w:pageBreakBefore w:val="0"/>
        <w:widowControl w:val="0"/>
        <w:kinsoku w:val="0"/>
        <w:wordWrap/>
        <w:overflowPunct w:val="0"/>
        <w:topLinePunct w:val="0"/>
        <w:autoSpaceDE w:val="0"/>
        <w:autoSpaceDN w:val="0"/>
        <w:bidi w:val="0"/>
        <w:adjustRightInd w:val="0"/>
        <w:snapToGrid w:val="0"/>
        <w:spacing w:before="157" w:beforeLines="50" w:line="360" w:lineRule="auto"/>
        <w:ind w:firstLine="640" w:firstLineChars="200"/>
        <w:textAlignment w:val="auto"/>
        <w:rPr>
          <w:rFonts w:hint="eastAsia" w:ascii="仿宋_GB2312" w:hAnsi="宋体" w:eastAsia="仿宋_GB2312" w:cs="Courier New"/>
          <w:sz w:val="32"/>
          <w:szCs w:val="32"/>
        </w:rPr>
      </w:pPr>
      <w:r>
        <w:rPr>
          <w:rFonts w:hint="eastAsia" w:ascii="仿宋_GB2312" w:hAnsi="宋体" w:eastAsia="仿宋_GB2312" w:cs="Courier New"/>
          <w:sz w:val="32"/>
          <w:szCs w:val="32"/>
        </w:rPr>
        <w:t>我</w:t>
      </w:r>
      <w:r>
        <w:rPr>
          <w:rFonts w:hint="eastAsia" w:ascii="仿宋_GB2312" w:hAnsi="宋体" w:eastAsia="仿宋_GB2312" w:cs="Courier New"/>
          <w:sz w:val="32"/>
          <w:szCs w:val="32"/>
          <w:lang w:eastAsia="zh-CN"/>
        </w:rPr>
        <w:t>局</w:t>
      </w:r>
      <w:r>
        <w:rPr>
          <w:rFonts w:hint="eastAsia" w:ascii="仿宋_GB2312" w:hAnsi="宋体" w:eastAsia="仿宋_GB2312" w:cs="Courier New"/>
          <w:sz w:val="32"/>
          <w:szCs w:val="32"/>
        </w:rPr>
        <w:t>202</w:t>
      </w:r>
      <w:r>
        <w:rPr>
          <w:rFonts w:ascii="仿宋_GB2312" w:hAnsi="宋体" w:eastAsia="仿宋_GB2312" w:cs="Courier New"/>
          <w:sz w:val="32"/>
          <w:szCs w:val="32"/>
        </w:rPr>
        <w:t>2</w:t>
      </w:r>
      <w:r>
        <w:rPr>
          <w:rFonts w:hint="eastAsia" w:ascii="仿宋_GB2312" w:hAnsi="宋体" w:eastAsia="仿宋_GB2312" w:cs="Courier New"/>
          <w:sz w:val="32"/>
          <w:szCs w:val="32"/>
        </w:rPr>
        <w:t>年无使用政府性基金预算拨款安排的支出。</w:t>
      </w:r>
    </w:p>
    <w:p>
      <w:pPr>
        <w:kinsoku w:val="0"/>
        <w:overflowPunct w:val="0"/>
        <w:autoSpaceDE w:val="0"/>
        <w:autoSpaceDN w:val="0"/>
        <w:adjustRightInd w:val="0"/>
        <w:snapToGrid w:val="0"/>
        <w:spacing w:line="360" w:lineRule="auto"/>
        <w:ind w:firstLine="636" w:firstLineChars="200"/>
        <w:rPr>
          <w:rFonts w:hint="eastAsia" w:ascii="仿宋_GB2312" w:hAnsi="宋体" w:eastAsia="黑体" w:cs="Courier New"/>
          <w:sz w:val="32"/>
          <w:szCs w:val="32"/>
          <w:lang w:eastAsia="zh-CN"/>
        </w:rPr>
      </w:pPr>
      <w:r>
        <w:rPr>
          <w:rFonts w:hint="eastAsia" w:ascii="黑体" w:hAnsi="Times New Roman" w:eastAsia="黑体" w:cs="黑体"/>
          <w:spacing w:val="-1"/>
          <w:kern w:val="0"/>
          <w:sz w:val="32"/>
          <w:szCs w:val="32"/>
        </w:rPr>
        <w:t>九、其他重要事项情况说明</w:t>
      </w:r>
    </w:p>
    <w:p>
      <w:pPr>
        <w:kinsoku w:val="0"/>
        <w:overflowPunct w:val="0"/>
        <w:autoSpaceDE w:val="0"/>
        <w:autoSpaceDN w:val="0"/>
        <w:adjustRightInd w:val="0"/>
        <w:snapToGrid w:val="0"/>
        <w:spacing w:line="360" w:lineRule="auto"/>
        <w:ind w:firstLine="643" w:firstLineChars="200"/>
        <w:rPr>
          <w:rFonts w:hint="eastAsia" w:ascii="仿宋_GB2312" w:hAnsi="宋体" w:eastAsia="仿宋_GB2312" w:cs="Courier New"/>
          <w:sz w:val="32"/>
          <w:szCs w:val="32"/>
        </w:rPr>
      </w:pPr>
      <w:r>
        <w:rPr>
          <w:rFonts w:hint="eastAsia" w:ascii="仿宋_GB2312" w:hAnsi="Times New Roman" w:eastAsia="仿宋_GB2312" w:cs="仿宋_GB2312"/>
          <w:b/>
          <w:kern w:val="0"/>
          <w:sz w:val="32"/>
          <w:szCs w:val="32"/>
        </w:rPr>
        <w:t>（一）行政（事业）单位机构运转经费</w:t>
      </w:r>
    </w:p>
    <w:p>
      <w:pPr>
        <w:kinsoku w:val="0"/>
        <w:overflowPunct w:val="0"/>
        <w:autoSpaceDE w:val="0"/>
        <w:autoSpaceDN w:val="0"/>
        <w:adjustRightInd w:val="0"/>
        <w:snapToGrid w:val="0"/>
        <w:spacing w:line="360" w:lineRule="auto"/>
        <w:ind w:firstLine="640" w:firstLineChars="200"/>
        <w:rPr>
          <w:rFonts w:hint="eastAsia" w:ascii="仿宋_GB2312" w:eastAsia="仿宋_GB2312"/>
          <w:sz w:val="32"/>
          <w:szCs w:val="32"/>
        </w:rPr>
      </w:pPr>
      <w:r>
        <w:rPr>
          <w:rFonts w:ascii="仿宋_GB2312" w:hAnsi="宋体" w:eastAsia="仿宋_GB2312" w:cs="Courier New"/>
          <w:sz w:val="32"/>
          <w:szCs w:val="32"/>
        </w:rPr>
        <w:t>2022年</w:t>
      </w:r>
      <w:r>
        <w:rPr>
          <w:rFonts w:hint="eastAsia" w:ascii="仿宋_GB2312" w:hAnsi="宋体" w:eastAsia="仿宋_GB2312" w:cs="Courier New"/>
          <w:sz w:val="32"/>
          <w:szCs w:val="32"/>
        </w:rPr>
        <w:t>机构运转经费支出预算</w:t>
      </w:r>
      <w:r>
        <w:rPr>
          <w:rFonts w:hint="eastAsia" w:ascii="仿宋_GB2312" w:eastAsia="仿宋_GB2312"/>
          <w:sz w:val="32"/>
          <w:szCs w:val="32"/>
          <w:lang w:val="en-US" w:eastAsia="zh-CN"/>
        </w:rPr>
        <w:t>54.89</w:t>
      </w:r>
      <w:r>
        <w:rPr>
          <w:rFonts w:hint="eastAsia" w:ascii="仿宋_GB2312" w:hAnsi="宋体" w:eastAsia="仿宋_GB2312" w:cs="Courier New"/>
          <w:sz w:val="32"/>
          <w:szCs w:val="32"/>
        </w:rPr>
        <w:t>万元，</w:t>
      </w:r>
      <w:r>
        <w:rPr>
          <w:rFonts w:hint="eastAsia" w:ascii="仿宋_GB2312" w:eastAsia="仿宋_GB2312"/>
          <w:sz w:val="32"/>
          <w:szCs w:val="32"/>
        </w:rPr>
        <w:t>主要保障机构正常运转及正常履职需要。</w:t>
      </w:r>
    </w:p>
    <w:p>
      <w:pPr>
        <w:kinsoku w:val="0"/>
        <w:overflowPunct w:val="0"/>
        <w:autoSpaceDE w:val="0"/>
        <w:autoSpaceDN w:val="0"/>
        <w:adjustRightInd w:val="0"/>
        <w:snapToGrid w:val="0"/>
        <w:spacing w:line="360" w:lineRule="auto"/>
        <w:ind w:firstLine="643" w:firstLineChars="200"/>
        <w:rPr>
          <w:rFonts w:hint="eastAsia" w:ascii="仿宋_GB2312" w:hAnsi="Times New Roman" w:eastAsia="仿宋_GB2312" w:cs="仿宋_GB2312"/>
          <w:b/>
          <w:kern w:val="0"/>
          <w:sz w:val="32"/>
          <w:szCs w:val="32"/>
        </w:rPr>
      </w:pPr>
      <w:r>
        <w:rPr>
          <w:rFonts w:hint="eastAsia" w:ascii="仿宋_GB2312" w:hAnsi="Times New Roman" w:eastAsia="仿宋_GB2312" w:cs="仿宋_GB2312"/>
          <w:b/>
          <w:kern w:val="0"/>
          <w:sz w:val="32"/>
          <w:szCs w:val="32"/>
        </w:rPr>
        <w:t>（二）政府采购支出情况</w:t>
      </w:r>
    </w:p>
    <w:p>
      <w:pPr>
        <w:kinsoku w:val="0"/>
        <w:overflowPunct w:val="0"/>
        <w:autoSpaceDE w:val="0"/>
        <w:autoSpaceDN w:val="0"/>
        <w:adjustRightInd w:val="0"/>
        <w:snapToGrid w:val="0"/>
        <w:spacing w:line="360" w:lineRule="auto"/>
        <w:ind w:firstLine="640" w:firstLineChars="200"/>
        <w:rPr>
          <w:rFonts w:hint="eastAsia" w:ascii="楷体_GB2312" w:hAnsi="Times New Roman" w:eastAsia="楷体_GB2312" w:cs="仿宋_GB2312"/>
          <w:b/>
          <w:kern w:val="0"/>
          <w:sz w:val="32"/>
          <w:szCs w:val="32"/>
        </w:rPr>
      </w:pPr>
      <w:r>
        <w:rPr>
          <w:rFonts w:hint="eastAsia" w:ascii="仿宋_GB2312" w:eastAsia="仿宋_GB2312"/>
          <w:sz w:val="32"/>
          <w:szCs w:val="32"/>
        </w:rPr>
        <w:t>20</w:t>
      </w:r>
      <w:r>
        <w:rPr>
          <w:rFonts w:ascii="仿宋_GB2312" w:eastAsia="仿宋_GB2312"/>
          <w:sz w:val="32"/>
          <w:szCs w:val="32"/>
        </w:rPr>
        <w:t>22</w:t>
      </w:r>
      <w:r>
        <w:rPr>
          <w:rFonts w:hint="eastAsia" w:ascii="仿宋_GB2312" w:eastAsia="仿宋_GB2312"/>
          <w:sz w:val="32"/>
          <w:szCs w:val="32"/>
        </w:rPr>
        <w:t>年政府采购预算安排</w:t>
      </w:r>
      <w:r>
        <w:rPr>
          <w:rFonts w:hint="eastAsia" w:ascii="仿宋_GB2312" w:eastAsia="仿宋_GB2312"/>
          <w:sz w:val="32"/>
          <w:szCs w:val="32"/>
          <w:lang w:val="en-US" w:eastAsia="zh-CN"/>
        </w:rPr>
        <w:t>0</w:t>
      </w:r>
      <w:r>
        <w:rPr>
          <w:rFonts w:hint="eastAsia" w:ascii="仿宋_GB2312" w:eastAsia="仿宋_GB2312"/>
          <w:sz w:val="32"/>
          <w:szCs w:val="32"/>
        </w:rPr>
        <w:t>万元，其中：政府采购货物预算</w:t>
      </w:r>
      <w:r>
        <w:rPr>
          <w:rFonts w:hint="eastAsia" w:ascii="仿宋_GB2312" w:eastAsia="仿宋_GB2312"/>
          <w:sz w:val="32"/>
          <w:szCs w:val="32"/>
          <w:lang w:val="en-US" w:eastAsia="zh-CN"/>
        </w:rPr>
        <w:t>0</w:t>
      </w:r>
      <w:r>
        <w:rPr>
          <w:rFonts w:hint="eastAsia" w:ascii="仿宋_GB2312" w:eastAsia="仿宋_GB2312"/>
          <w:sz w:val="32"/>
          <w:szCs w:val="32"/>
        </w:rPr>
        <w:t>万元、政府采购工程预算</w:t>
      </w:r>
      <w:r>
        <w:rPr>
          <w:rFonts w:hint="eastAsia" w:ascii="仿宋_GB2312" w:eastAsia="仿宋_GB2312"/>
          <w:sz w:val="32"/>
          <w:szCs w:val="32"/>
          <w:lang w:val="en-US" w:eastAsia="zh-CN"/>
        </w:rPr>
        <w:t>0</w:t>
      </w:r>
      <w:r>
        <w:rPr>
          <w:rFonts w:hint="eastAsia" w:ascii="仿宋_GB2312" w:eastAsia="仿宋_GB2312"/>
          <w:sz w:val="32"/>
          <w:szCs w:val="32"/>
        </w:rPr>
        <w:t>万元、政府采购服务预算</w:t>
      </w:r>
      <w:r>
        <w:rPr>
          <w:rFonts w:hint="eastAsia" w:ascii="仿宋_GB2312" w:eastAsia="仿宋_GB2312"/>
          <w:sz w:val="32"/>
          <w:szCs w:val="32"/>
          <w:lang w:val="en-US" w:eastAsia="zh-CN"/>
        </w:rPr>
        <w:t>0</w:t>
      </w:r>
      <w:r>
        <w:rPr>
          <w:rFonts w:hint="eastAsia" w:ascii="仿宋_GB2312" w:eastAsia="仿宋_GB2312"/>
          <w:sz w:val="32"/>
          <w:szCs w:val="32"/>
        </w:rPr>
        <w:t>万元。</w:t>
      </w:r>
    </w:p>
    <w:p>
      <w:pPr>
        <w:kinsoku w:val="0"/>
        <w:overflowPunct w:val="0"/>
        <w:autoSpaceDE w:val="0"/>
        <w:autoSpaceDN w:val="0"/>
        <w:adjustRightInd w:val="0"/>
        <w:snapToGrid w:val="0"/>
        <w:spacing w:line="360" w:lineRule="auto"/>
        <w:ind w:firstLine="643" w:firstLineChars="200"/>
        <w:rPr>
          <w:rFonts w:hint="eastAsia" w:ascii="仿宋_GB2312" w:hAnsi="Times New Roman" w:eastAsia="仿宋_GB2312" w:cs="仿宋_GB2312"/>
          <w:b/>
          <w:kern w:val="0"/>
          <w:sz w:val="32"/>
          <w:szCs w:val="32"/>
        </w:rPr>
      </w:pPr>
      <w:r>
        <w:rPr>
          <w:rFonts w:hint="eastAsia" w:ascii="仿宋_GB2312" w:hAnsi="Times New Roman" w:eastAsia="仿宋_GB2312" w:cs="仿宋_GB2312"/>
          <w:b/>
          <w:kern w:val="0"/>
          <w:sz w:val="32"/>
          <w:szCs w:val="32"/>
        </w:rPr>
        <w:t>（三）绩效</w:t>
      </w:r>
      <w:r>
        <w:rPr>
          <w:rFonts w:ascii="仿宋_GB2312" w:hAnsi="Times New Roman" w:eastAsia="仿宋_GB2312" w:cs="仿宋_GB2312"/>
          <w:b/>
          <w:kern w:val="0"/>
          <w:sz w:val="32"/>
          <w:szCs w:val="32"/>
        </w:rPr>
        <w:t>目标设置情况</w:t>
      </w:r>
    </w:p>
    <w:p>
      <w:pPr>
        <w:kinsoku w:val="0"/>
        <w:overflowPunct w:val="0"/>
        <w:autoSpaceDE w:val="0"/>
        <w:autoSpaceDN w:val="0"/>
        <w:adjustRightInd w:val="0"/>
        <w:snapToGrid w:val="0"/>
        <w:spacing w:line="360" w:lineRule="auto"/>
        <w:ind w:firstLine="800" w:firstLineChars="250"/>
        <w:rPr>
          <w:rFonts w:hint="eastAsia" w:ascii="仿宋_GB2312" w:hAnsi="宋体" w:eastAsia="仿宋_GB2312" w:cs="Courier New"/>
          <w:sz w:val="32"/>
          <w:szCs w:val="32"/>
        </w:rPr>
      </w:pPr>
      <w:r>
        <w:rPr>
          <w:rFonts w:hint="eastAsia" w:ascii="仿宋_GB2312" w:hAnsi="宋体" w:eastAsia="仿宋_GB2312" w:cs="Courier New"/>
          <w:sz w:val="32"/>
          <w:szCs w:val="32"/>
          <w:lang w:eastAsia="zh-CN"/>
        </w:rPr>
        <w:t>我局</w:t>
      </w:r>
      <w:r>
        <w:rPr>
          <w:rFonts w:hint="eastAsia" w:ascii="仿宋_GB2312" w:hAnsi="宋体" w:eastAsia="仿宋_GB2312" w:cs="Courier New"/>
          <w:sz w:val="32"/>
          <w:szCs w:val="32"/>
        </w:rPr>
        <w:t>202</w:t>
      </w:r>
      <w:r>
        <w:rPr>
          <w:rFonts w:ascii="仿宋_GB2312" w:hAnsi="宋体" w:eastAsia="仿宋_GB2312" w:cs="Courier New"/>
          <w:sz w:val="32"/>
          <w:szCs w:val="32"/>
        </w:rPr>
        <w:t>2</w:t>
      </w:r>
      <w:r>
        <w:rPr>
          <w:rFonts w:hint="eastAsia" w:ascii="仿宋_GB2312" w:hAnsi="宋体" w:eastAsia="仿宋_GB2312" w:cs="Courier New"/>
          <w:sz w:val="32"/>
          <w:szCs w:val="32"/>
        </w:rPr>
        <w:t>年</w:t>
      </w:r>
      <w:r>
        <w:rPr>
          <w:rFonts w:ascii="仿宋_GB2312" w:hAnsi="宋体" w:eastAsia="仿宋_GB2312" w:cs="Courier New"/>
          <w:sz w:val="32"/>
          <w:szCs w:val="32"/>
        </w:rPr>
        <w:t>预算项目均按要求编制了绩效目标，从项目产出、项目效益、满意度等方面设置了绩效指标，综合反映项目预期完成的数量、</w:t>
      </w:r>
      <w:r>
        <w:rPr>
          <w:rFonts w:hint="eastAsia" w:ascii="仿宋_GB2312" w:hAnsi="宋体" w:eastAsia="仿宋_GB2312" w:cs="Courier New"/>
          <w:sz w:val="32"/>
          <w:szCs w:val="32"/>
        </w:rPr>
        <w:t>实效</w:t>
      </w:r>
      <w:r>
        <w:rPr>
          <w:rFonts w:ascii="仿宋_GB2312" w:hAnsi="宋体" w:eastAsia="仿宋_GB2312" w:cs="Courier New"/>
          <w:sz w:val="32"/>
          <w:szCs w:val="32"/>
        </w:rPr>
        <w:t>、质量</w:t>
      </w:r>
      <w:r>
        <w:rPr>
          <w:rFonts w:hint="eastAsia" w:ascii="仿宋_GB2312" w:hAnsi="宋体" w:eastAsia="仿宋_GB2312" w:cs="Courier New"/>
          <w:sz w:val="32"/>
          <w:szCs w:val="32"/>
        </w:rPr>
        <w:t>，</w:t>
      </w:r>
      <w:r>
        <w:rPr>
          <w:rFonts w:ascii="仿宋_GB2312" w:hAnsi="宋体" w:eastAsia="仿宋_GB2312" w:cs="Courier New"/>
          <w:sz w:val="32"/>
          <w:szCs w:val="32"/>
        </w:rPr>
        <w:t>预期达到的社会经济效益、可持续影响以及</w:t>
      </w:r>
      <w:r>
        <w:rPr>
          <w:rFonts w:hint="eastAsia" w:ascii="仿宋_GB2312" w:hAnsi="宋体" w:eastAsia="仿宋_GB2312" w:cs="Courier New"/>
          <w:sz w:val="32"/>
          <w:szCs w:val="32"/>
        </w:rPr>
        <w:t>服务</w:t>
      </w:r>
      <w:r>
        <w:rPr>
          <w:rFonts w:ascii="仿宋_GB2312" w:hAnsi="宋体" w:eastAsia="仿宋_GB2312" w:cs="Courier New"/>
          <w:sz w:val="32"/>
          <w:szCs w:val="32"/>
        </w:rPr>
        <w:t>对象满意度等情况。</w:t>
      </w:r>
    </w:p>
    <w:p>
      <w:pPr>
        <w:kinsoku w:val="0"/>
        <w:overflowPunct w:val="0"/>
        <w:autoSpaceDE w:val="0"/>
        <w:autoSpaceDN w:val="0"/>
        <w:adjustRightInd w:val="0"/>
        <w:snapToGrid w:val="0"/>
        <w:spacing w:line="360" w:lineRule="auto"/>
        <w:ind w:firstLine="643" w:firstLineChars="200"/>
        <w:rPr>
          <w:rFonts w:ascii="仿宋_GB2312" w:hAnsi="Times New Roman" w:eastAsia="仿宋_GB2312" w:cs="仿宋_GB2312"/>
          <w:b/>
          <w:kern w:val="0"/>
          <w:sz w:val="32"/>
          <w:szCs w:val="32"/>
        </w:rPr>
      </w:pPr>
      <w:r>
        <w:rPr>
          <w:rFonts w:hint="eastAsia" w:ascii="仿宋_GB2312" w:hAnsi="Times New Roman" w:eastAsia="仿宋_GB2312" w:cs="仿宋_GB2312"/>
          <w:b/>
          <w:kern w:val="0"/>
          <w:sz w:val="32"/>
          <w:szCs w:val="32"/>
        </w:rPr>
        <w:t>（四）国有资产占用情况。</w:t>
      </w:r>
    </w:p>
    <w:p>
      <w:pPr>
        <w:kinsoku w:val="0"/>
        <w:overflowPunct w:val="0"/>
        <w:autoSpaceDE w:val="0"/>
        <w:autoSpaceDN w:val="0"/>
        <w:adjustRightInd w:val="0"/>
        <w:snapToGrid w:val="0"/>
        <w:spacing w:line="360" w:lineRule="auto"/>
        <w:ind w:firstLine="640" w:firstLineChars="200"/>
        <w:rPr>
          <w:rFonts w:hint="eastAsia" w:ascii="仿宋_GB2312" w:hAnsi="宋体" w:eastAsia="仿宋_GB2312" w:cs="Courier New"/>
          <w:sz w:val="32"/>
          <w:szCs w:val="32"/>
        </w:rPr>
      </w:pPr>
      <w:r>
        <w:rPr>
          <w:rFonts w:ascii="仿宋_GB2312" w:hAnsi="宋体" w:eastAsia="仿宋_GB2312" w:cs="Courier New"/>
          <w:sz w:val="32"/>
          <w:szCs w:val="32"/>
        </w:rPr>
        <w:t>2021</w:t>
      </w:r>
      <w:r>
        <w:rPr>
          <w:rFonts w:hint="eastAsia" w:ascii="仿宋_GB2312" w:hAnsi="宋体" w:eastAsia="仿宋_GB2312" w:cs="Courier New"/>
          <w:sz w:val="32"/>
          <w:szCs w:val="32"/>
        </w:rPr>
        <w:t>年期末，</w:t>
      </w:r>
      <w:r>
        <w:rPr>
          <w:rFonts w:hint="eastAsia" w:ascii="仿宋_GB2312" w:hAnsi="宋体" w:eastAsia="仿宋_GB2312" w:cs="Courier New"/>
          <w:sz w:val="32"/>
          <w:szCs w:val="32"/>
          <w:lang w:eastAsia="zh-CN"/>
        </w:rPr>
        <w:t>我局</w:t>
      </w:r>
      <w:r>
        <w:rPr>
          <w:rFonts w:hint="eastAsia" w:ascii="仿宋_GB2312" w:hAnsi="宋体" w:eastAsia="仿宋_GB2312" w:cs="Courier New"/>
          <w:sz w:val="32"/>
          <w:szCs w:val="32"/>
        </w:rPr>
        <w:t>共有车辆</w:t>
      </w:r>
      <w:r>
        <w:rPr>
          <w:rFonts w:hint="eastAsia" w:ascii="仿宋_GB2312" w:eastAsia="仿宋_GB2312"/>
          <w:sz w:val="32"/>
          <w:szCs w:val="32"/>
          <w:lang w:val="en-US" w:eastAsia="zh-CN"/>
        </w:rPr>
        <w:t>1</w:t>
      </w:r>
      <w:r>
        <w:rPr>
          <w:rFonts w:hint="eastAsia" w:ascii="仿宋_GB2312" w:hAnsi="宋体" w:eastAsia="仿宋_GB2312" w:cs="Courier New"/>
          <w:sz w:val="32"/>
          <w:szCs w:val="32"/>
        </w:rPr>
        <w:t>辆，其中：一般公务用车</w:t>
      </w:r>
      <w:r>
        <w:rPr>
          <w:rFonts w:hint="eastAsia" w:ascii="仿宋_GB2312" w:eastAsia="仿宋_GB2312"/>
          <w:sz w:val="32"/>
          <w:szCs w:val="32"/>
          <w:lang w:val="en-US" w:eastAsia="zh-CN"/>
        </w:rPr>
        <w:t>0</w:t>
      </w:r>
      <w:r>
        <w:rPr>
          <w:rFonts w:hint="eastAsia" w:ascii="仿宋_GB2312" w:hAnsi="宋体" w:eastAsia="仿宋_GB2312" w:cs="Courier New"/>
          <w:sz w:val="32"/>
          <w:szCs w:val="32"/>
        </w:rPr>
        <w:t>辆、一般执法执勤用车</w:t>
      </w:r>
      <w:r>
        <w:rPr>
          <w:rFonts w:hint="eastAsia" w:ascii="仿宋_GB2312" w:eastAsia="仿宋_GB2312"/>
          <w:sz w:val="32"/>
          <w:szCs w:val="32"/>
          <w:lang w:val="en-US" w:eastAsia="zh-CN"/>
        </w:rPr>
        <w:t>0</w:t>
      </w:r>
      <w:r>
        <w:rPr>
          <w:rFonts w:hint="eastAsia" w:ascii="仿宋_GB2312" w:hAnsi="宋体" w:eastAsia="仿宋_GB2312" w:cs="Courier New"/>
          <w:sz w:val="32"/>
          <w:szCs w:val="32"/>
        </w:rPr>
        <w:t>辆、特种专业技术用车</w:t>
      </w:r>
      <w:r>
        <w:rPr>
          <w:rFonts w:hint="eastAsia" w:ascii="仿宋_GB2312" w:eastAsia="仿宋_GB2312"/>
          <w:sz w:val="32"/>
          <w:szCs w:val="32"/>
          <w:lang w:val="en-US" w:eastAsia="zh-CN"/>
        </w:rPr>
        <w:t>0</w:t>
      </w:r>
      <w:r>
        <w:rPr>
          <w:rFonts w:hint="eastAsia" w:ascii="仿宋_GB2312" w:hAnsi="宋体" w:eastAsia="仿宋_GB2312" w:cs="Courier New"/>
          <w:sz w:val="32"/>
          <w:szCs w:val="32"/>
        </w:rPr>
        <w:t>辆，其他用车</w:t>
      </w:r>
      <w:r>
        <w:rPr>
          <w:rFonts w:hint="eastAsia" w:ascii="仿宋_GB2312" w:eastAsia="仿宋_GB2312"/>
          <w:sz w:val="32"/>
          <w:szCs w:val="32"/>
          <w:lang w:val="en-US" w:eastAsia="zh-CN"/>
        </w:rPr>
        <w:t>0</w:t>
      </w:r>
      <w:r>
        <w:rPr>
          <w:rFonts w:hint="eastAsia" w:ascii="仿宋_GB2312" w:hAnsi="宋体" w:eastAsia="仿宋_GB2312" w:cs="Courier New"/>
          <w:sz w:val="32"/>
          <w:szCs w:val="32"/>
        </w:rPr>
        <w:t>辆，其他用车主要是</w:t>
      </w:r>
      <w:r>
        <w:rPr>
          <w:rFonts w:hint="eastAsia" w:ascii="仿宋_GB2312" w:hAnsi="宋体" w:eastAsia="仿宋_GB2312" w:cs="Courier New"/>
          <w:sz w:val="32"/>
          <w:szCs w:val="32"/>
          <w:lang w:eastAsia="zh-CN"/>
        </w:rPr>
        <w:t>无</w:t>
      </w:r>
      <w:r>
        <w:rPr>
          <w:rFonts w:hint="eastAsia" w:ascii="仿宋_GB2312" w:hAnsi="宋体" w:eastAsia="仿宋_GB2312" w:cs="Courier New"/>
          <w:sz w:val="32"/>
          <w:szCs w:val="32"/>
        </w:rPr>
        <w:t>；单价</w:t>
      </w:r>
      <w:r>
        <w:rPr>
          <w:rFonts w:ascii="仿宋_GB2312" w:hAnsi="宋体" w:eastAsia="仿宋_GB2312" w:cs="Courier New"/>
          <w:sz w:val="32"/>
          <w:szCs w:val="32"/>
        </w:rPr>
        <w:t>50</w:t>
      </w:r>
      <w:r>
        <w:rPr>
          <w:rFonts w:hint="eastAsia" w:ascii="仿宋_GB2312" w:hAnsi="宋体" w:eastAsia="仿宋_GB2312" w:cs="Courier New"/>
          <w:sz w:val="32"/>
          <w:szCs w:val="32"/>
        </w:rPr>
        <w:t>万元以上通用设备</w:t>
      </w:r>
      <w:r>
        <w:rPr>
          <w:rFonts w:hint="eastAsia" w:ascii="仿宋_GB2312" w:eastAsia="仿宋_GB2312"/>
          <w:sz w:val="32"/>
          <w:szCs w:val="32"/>
          <w:lang w:val="en-US" w:eastAsia="zh-CN"/>
        </w:rPr>
        <w:t>0</w:t>
      </w:r>
      <w:r>
        <w:rPr>
          <w:rFonts w:hint="eastAsia" w:ascii="仿宋_GB2312" w:hAnsi="宋体" w:eastAsia="仿宋_GB2312" w:cs="Courier New"/>
          <w:sz w:val="32"/>
          <w:szCs w:val="32"/>
        </w:rPr>
        <w:t>台（套），单位价值</w:t>
      </w:r>
      <w:r>
        <w:rPr>
          <w:rFonts w:ascii="仿宋_GB2312" w:hAnsi="宋体" w:eastAsia="仿宋_GB2312" w:cs="Courier New"/>
          <w:sz w:val="32"/>
          <w:szCs w:val="32"/>
        </w:rPr>
        <w:t>100</w:t>
      </w:r>
      <w:r>
        <w:rPr>
          <w:rFonts w:hint="eastAsia" w:ascii="仿宋_GB2312" w:hAnsi="宋体" w:eastAsia="仿宋_GB2312" w:cs="Courier New"/>
          <w:sz w:val="32"/>
          <w:szCs w:val="32"/>
        </w:rPr>
        <w:t>万元以上专用设备</w:t>
      </w:r>
      <w:r>
        <w:rPr>
          <w:rFonts w:hint="eastAsia" w:ascii="仿宋_GB2312" w:eastAsia="仿宋_GB2312"/>
          <w:sz w:val="32"/>
          <w:szCs w:val="32"/>
          <w:lang w:val="en-US" w:eastAsia="zh-CN"/>
        </w:rPr>
        <w:t>0</w:t>
      </w:r>
      <w:r>
        <w:rPr>
          <w:rFonts w:hint="eastAsia" w:ascii="仿宋_GB2312" w:hAnsi="宋体" w:eastAsia="仿宋_GB2312" w:cs="Courier New"/>
          <w:sz w:val="32"/>
          <w:szCs w:val="32"/>
        </w:rPr>
        <w:t>台（套）。</w:t>
      </w:r>
    </w:p>
    <w:p>
      <w:pPr>
        <w:adjustRightInd w:val="0"/>
        <w:snapToGrid w:val="0"/>
        <w:spacing w:line="360" w:lineRule="auto"/>
        <w:ind w:firstLine="640" w:firstLineChars="200"/>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t xml:space="preserve"> </w:t>
      </w: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lang w:val="en-US" w:eastAsia="zh-CN"/>
        </w:rPr>
      </w:pPr>
    </w:p>
    <w:p>
      <w:pPr>
        <w:adjustRightInd w:val="0"/>
        <w:snapToGrid w:val="0"/>
        <w:spacing w:line="360" w:lineRule="auto"/>
        <w:ind w:firstLine="640" w:firstLineChars="200"/>
        <w:rPr>
          <w:rFonts w:hint="eastAsia" w:ascii="仿宋_GB2312" w:hAnsi="Times New Roman" w:eastAsia="仿宋_GB2312"/>
          <w:sz w:val="32"/>
          <w:szCs w:val="32"/>
        </w:rPr>
      </w:pPr>
    </w:p>
    <w:p>
      <w:pPr>
        <w:adjustRightInd w:val="0"/>
        <w:snapToGrid w:val="0"/>
        <w:spacing w:line="360" w:lineRule="auto"/>
        <w:ind w:firstLine="640" w:firstLineChars="200"/>
        <w:rPr>
          <w:rFonts w:hint="eastAsia" w:ascii="仿宋_GB2312" w:hAnsi="Times New Roman" w:eastAsia="仿宋_GB2312"/>
          <w:sz w:val="32"/>
          <w:szCs w:val="32"/>
        </w:rPr>
      </w:pPr>
    </w:p>
    <w:p>
      <w:pPr>
        <w:adjustRightInd w:val="0"/>
        <w:snapToGrid w:val="0"/>
        <w:spacing w:line="360" w:lineRule="auto"/>
        <w:ind w:firstLine="640" w:firstLineChars="200"/>
        <w:rPr>
          <w:rFonts w:hint="eastAsia" w:ascii="仿宋_GB2312" w:hAnsi="Times New Roman" w:eastAsia="仿宋_GB2312"/>
          <w:sz w:val="32"/>
          <w:szCs w:val="32"/>
        </w:rPr>
      </w:pPr>
    </w:p>
    <w:p>
      <w:pPr>
        <w:adjustRightInd w:val="0"/>
        <w:snapToGrid w:val="0"/>
        <w:spacing w:line="360" w:lineRule="auto"/>
        <w:ind w:firstLine="640" w:firstLineChars="200"/>
        <w:rPr>
          <w:rFonts w:hint="eastAsia" w:ascii="仿宋_GB2312" w:hAnsi="Times New Roman" w:eastAsia="仿宋_GB2312"/>
          <w:sz w:val="32"/>
          <w:szCs w:val="32"/>
        </w:rPr>
      </w:pPr>
    </w:p>
    <w:p>
      <w:pPr>
        <w:adjustRightInd w:val="0"/>
        <w:snapToGrid w:val="0"/>
        <w:spacing w:line="360" w:lineRule="auto"/>
        <w:ind w:firstLine="640" w:firstLineChars="200"/>
        <w:rPr>
          <w:rFonts w:hint="eastAsia" w:ascii="仿宋_GB2312" w:hAnsi="Times New Roman" w:eastAsia="仿宋_GB2312"/>
          <w:sz w:val="32"/>
          <w:szCs w:val="32"/>
        </w:rPr>
      </w:pPr>
    </w:p>
    <w:p>
      <w:pPr>
        <w:adjustRightInd w:val="0"/>
        <w:snapToGrid w:val="0"/>
        <w:spacing w:line="360" w:lineRule="auto"/>
        <w:jc w:val="center"/>
        <w:rPr>
          <w:rFonts w:hint="eastAsia" w:ascii="黑体" w:hAnsi="黑体" w:eastAsia="黑体"/>
          <w:sz w:val="32"/>
          <w:szCs w:val="32"/>
        </w:rPr>
      </w:pPr>
      <w:r>
        <w:rPr>
          <w:rFonts w:hint="eastAsia" w:ascii="黑体" w:hAnsi="黑体" w:eastAsia="黑体"/>
          <w:sz w:val="32"/>
          <w:szCs w:val="32"/>
        </w:rPr>
        <w:t>第三部分</w:t>
      </w:r>
    </w:p>
    <w:p>
      <w:pPr>
        <w:adjustRightInd w:val="0"/>
        <w:snapToGrid w:val="0"/>
        <w:spacing w:line="360" w:lineRule="auto"/>
        <w:jc w:val="center"/>
        <w:rPr>
          <w:rFonts w:hint="eastAsia" w:ascii="黑体" w:hAnsi="黑体" w:eastAsia="黑体"/>
          <w:sz w:val="32"/>
          <w:szCs w:val="32"/>
        </w:rPr>
      </w:pPr>
      <w:r>
        <w:rPr>
          <w:rFonts w:hint="eastAsia" w:ascii="黑体" w:hAnsi="黑体" w:eastAsia="黑体"/>
          <w:sz w:val="32"/>
          <w:szCs w:val="32"/>
        </w:rPr>
        <w:t>名词解释</w:t>
      </w:r>
    </w:p>
    <w:p>
      <w:pPr>
        <w:kinsoku w:val="0"/>
        <w:overflowPunct w:val="0"/>
        <w:autoSpaceDE w:val="0"/>
        <w:autoSpaceDN w:val="0"/>
        <w:adjustRightInd w:val="0"/>
        <w:snapToGrid w:val="0"/>
        <w:spacing w:line="360" w:lineRule="auto"/>
        <w:ind w:firstLine="640" w:firstLineChars="200"/>
        <w:rPr>
          <w:rFonts w:ascii="仿宋_GB2312" w:hAnsi="宋体" w:eastAsia="仿宋_GB2312" w:cs="Courier New"/>
          <w:sz w:val="32"/>
          <w:szCs w:val="32"/>
        </w:rPr>
      </w:pPr>
      <w:r>
        <w:rPr>
          <w:rFonts w:hint="eastAsia" w:ascii="仿宋_GB2312" w:hAnsi="宋体" w:eastAsia="仿宋_GB2312" w:cs="Courier New"/>
          <w:sz w:val="32"/>
          <w:szCs w:val="32"/>
        </w:rPr>
        <w:t>一、财政拨款收入：是指</w:t>
      </w:r>
      <w:r>
        <w:rPr>
          <w:rFonts w:hint="eastAsia" w:ascii="仿宋_GB2312" w:hAnsi="宋体" w:eastAsia="仿宋_GB2312" w:cs="Courier New"/>
          <w:sz w:val="32"/>
          <w:szCs w:val="32"/>
          <w:lang w:eastAsia="zh-CN"/>
        </w:rPr>
        <w:t>市</w:t>
      </w:r>
      <w:r>
        <w:rPr>
          <w:rFonts w:hint="eastAsia" w:ascii="仿宋_GB2312" w:hAnsi="宋体" w:eastAsia="仿宋_GB2312" w:cs="Courier New"/>
          <w:sz w:val="32"/>
          <w:szCs w:val="32"/>
        </w:rPr>
        <w:t>级财政当年拨付的资金；</w:t>
      </w:r>
      <w:r>
        <w:rPr>
          <w:rFonts w:hint="eastAsia" w:ascii="仿宋_GB2312" w:hAnsi="仿宋" w:eastAsia="仿宋_GB2312" w:cs="仿宋_GB2312"/>
          <w:sz w:val="32"/>
          <w:szCs w:val="32"/>
        </w:rPr>
        <w:t>包括一般公共预算拨款、政府性基金预算拨款、国有资本经营预算拨款</w:t>
      </w:r>
      <w:r>
        <w:rPr>
          <w:rFonts w:hint="eastAsia" w:ascii="仿宋_GB2312" w:hAnsi="宋体" w:eastAsia="仿宋_GB2312" w:cs="Courier New"/>
          <w:sz w:val="32"/>
          <w:szCs w:val="32"/>
        </w:rPr>
        <w:t>。</w:t>
      </w:r>
    </w:p>
    <w:p>
      <w:pPr>
        <w:kinsoku w:val="0"/>
        <w:overflowPunct w:val="0"/>
        <w:autoSpaceDE w:val="0"/>
        <w:autoSpaceDN w:val="0"/>
        <w:adjustRightInd w:val="0"/>
        <w:snapToGrid w:val="0"/>
        <w:spacing w:line="360" w:lineRule="auto"/>
        <w:ind w:firstLine="640" w:firstLineChars="200"/>
        <w:rPr>
          <w:rFonts w:ascii="仿宋_GB2312" w:hAnsi="仿宋" w:eastAsia="仿宋_GB2312" w:cs="仿宋_GB2312"/>
          <w:sz w:val="32"/>
          <w:szCs w:val="32"/>
        </w:rPr>
      </w:pPr>
      <w:r>
        <w:rPr>
          <w:rFonts w:hint="eastAsia" w:ascii="仿宋_GB2312" w:hAnsi="仿宋" w:eastAsia="仿宋_GB2312" w:cs="仿宋_GB2312"/>
          <w:sz w:val="32"/>
          <w:szCs w:val="32"/>
        </w:rPr>
        <w:t>二</w:t>
      </w:r>
      <w:r>
        <w:rPr>
          <w:rFonts w:ascii="仿宋_GB2312" w:hAnsi="仿宋" w:eastAsia="仿宋_GB2312" w:cs="仿宋_GB2312"/>
          <w:sz w:val="32"/>
          <w:szCs w:val="32"/>
        </w:rPr>
        <w:t>、财政专户管理资金</w:t>
      </w:r>
      <w:r>
        <w:rPr>
          <w:rFonts w:hint="eastAsia" w:ascii="仿宋_GB2312" w:hAnsi="仿宋" w:eastAsia="仿宋_GB2312" w:cs="仿宋_GB2312"/>
          <w:sz w:val="32"/>
          <w:szCs w:val="32"/>
        </w:rPr>
        <w:t>：</w:t>
      </w:r>
      <w:r>
        <w:rPr>
          <w:rFonts w:ascii="仿宋_GB2312" w:hAnsi="仿宋" w:eastAsia="仿宋_GB2312" w:cs="仿宋_GB2312"/>
          <w:sz w:val="32"/>
          <w:szCs w:val="32"/>
        </w:rPr>
        <w:t>是指缴入财政专户、实行专项管理的高中以上学费、住宿费、高校委托培养费、函大、电大、夜大及短训班培训费等教育收费</w:t>
      </w:r>
      <w:r>
        <w:rPr>
          <w:rFonts w:hint="eastAsia" w:ascii="仿宋_GB2312" w:hAnsi="仿宋" w:eastAsia="仿宋_GB2312" w:cs="仿宋_GB2312"/>
          <w:sz w:val="32"/>
          <w:szCs w:val="32"/>
        </w:rPr>
        <w:t>。</w:t>
      </w:r>
    </w:p>
    <w:p>
      <w:pPr>
        <w:kinsoku w:val="0"/>
        <w:overflowPunct w:val="0"/>
        <w:autoSpaceDE w:val="0"/>
        <w:autoSpaceDN w:val="0"/>
        <w:adjustRightInd w:val="0"/>
        <w:snapToGrid w:val="0"/>
        <w:spacing w:line="360" w:lineRule="auto"/>
        <w:ind w:firstLine="640" w:firstLineChars="200"/>
        <w:rPr>
          <w:rFonts w:ascii="仿宋_GB2312" w:hAnsi="宋体" w:eastAsia="仿宋_GB2312" w:cs="Courier New"/>
          <w:sz w:val="32"/>
          <w:szCs w:val="32"/>
        </w:rPr>
      </w:pPr>
      <w:r>
        <w:rPr>
          <w:rFonts w:hint="eastAsia" w:ascii="仿宋_GB2312" w:hAnsi="宋体" w:eastAsia="仿宋_GB2312" w:cs="Courier New"/>
          <w:sz w:val="32"/>
          <w:szCs w:val="32"/>
        </w:rPr>
        <w:t>三、事业收入：是指事业单位开展专业活动及辅助活动所取得的收入</w:t>
      </w:r>
      <w:r>
        <w:rPr>
          <w:rFonts w:ascii="仿宋_GB2312" w:hAnsi="仿宋" w:eastAsia="仿宋_GB2312" w:cs="仿宋_GB2312"/>
          <w:sz w:val="32"/>
          <w:szCs w:val="32"/>
        </w:rPr>
        <w:t>，不包括教育收费</w:t>
      </w:r>
      <w:r>
        <w:rPr>
          <w:rFonts w:hint="eastAsia" w:ascii="仿宋_GB2312" w:hAnsi="宋体" w:eastAsia="仿宋_GB2312" w:cs="Courier New"/>
          <w:sz w:val="32"/>
          <w:szCs w:val="32"/>
        </w:rPr>
        <w:t>。</w:t>
      </w:r>
    </w:p>
    <w:p>
      <w:pPr>
        <w:kinsoku w:val="0"/>
        <w:overflowPunct w:val="0"/>
        <w:autoSpaceDE w:val="0"/>
        <w:autoSpaceDN w:val="0"/>
        <w:adjustRightInd w:val="0"/>
        <w:snapToGrid w:val="0"/>
        <w:spacing w:line="360" w:lineRule="auto"/>
        <w:ind w:firstLine="640" w:firstLineChars="200"/>
        <w:rPr>
          <w:rFonts w:hint="eastAsia" w:ascii="仿宋_GB2312" w:hAnsi="宋体" w:eastAsia="仿宋_GB2312" w:cs="Courier New"/>
          <w:sz w:val="32"/>
          <w:szCs w:val="32"/>
          <w:lang w:eastAsia="zh-CN"/>
        </w:rPr>
      </w:pPr>
      <w:r>
        <w:rPr>
          <w:rFonts w:hint="eastAsia" w:ascii="仿宋_GB2312" w:hAnsi="宋体" w:eastAsia="仿宋_GB2312" w:cs="Courier New"/>
          <w:sz w:val="32"/>
          <w:szCs w:val="32"/>
        </w:rPr>
        <w:t>四、事业单位经营收入：是指事业单位在专业业务活动及其辅助活动之外开展非独立核算经营活动取得的收入</w:t>
      </w:r>
      <w:r>
        <w:rPr>
          <w:rFonts w:hint="eastAsia" w:ascii="仿宋_GB2312" w:hAnsi="宋体" w:eastAsia="仿宋_GB2312" w:cs="Courier New"/>
          <w:sz w:val="32"/>
          <w:szCs w:val="32"/>
          <w:lang w:eastAsia="zh-CN"/>
        </w:rPr>
        <w:t>。</w:t>
      </w:r>
    </w:p>
    <w:p>
      <w:pPr>
        <w:kinsoku w:val="0"/>
        <w:overflowPunct w:val="0"/>
        <w:autoSpaceDE w:val="0"/>
        <w:autoSpaceDN w:val="0"/>
        <w:adjustRightInd w:val="0"/>
        <w:snapToGrid w:val="0"/>
        <w:spacing w:line="360" w:lineRule="auto"/>
        <w:ind w:firstLine="640" w:firstLineChars="200"/>
        <w:rPr>
          <w:rFonts w:ascii="仿宋_GB2312" w:hAnsi="宋体" w:eastAsia="仿宋_GB2312" w:cs="Courier New"/>
          <w:sz w:val="32"/>
          <w:szCs w:val="32"/>
        </w:rPr>
      </w:pPr>
      <w:r>
        <w:rPr>
          <w:rFonts w:hint="eastAsia" w:ascii="仿宋_GB2312" w:hAnsi="宋体" w:eastAsia="仿宋_GB2312" w:cs="Courier New"/>
          <w:sz w:val="32"/>
          <w:szCs w:val="32"/>
        </w:rPr>
        <w:t xml:space="preserve">五、其他收入：是指部门取得的除“财政拨款”、“事业收入”、“事业单位经营收入”等以外的收入。 </w:t>
      </w:r>
    </w:p>
    <w:p>
      <w:pPr>
        <w:kinsoku w:val="0"/>
        <w:overflowPunct w:val="0"/>
        <w:autoSpaceDE w:val="0"/>
        <w:autoSpaceDN w:val="0"/>
        <w:adjustRightInd w:val="0"/>
        <w:snapToGrid w:val="0"/>
        <w:spacing w:line="360" w:lineRule="auto"/>
        <w:ind w:firstLine="640" w:firstLineChars="200"/>
        <w:rPr>
          <w:rFonts w:ascii="仿宋_GB2312" w:hAnsi="宋体" w:eastAsia="仿宋_GB2312" w:cs="Courier New"/>
          <w:sz w:val="32"/>
          <w:szCs w:val="32"/>
        </w:rPr>
      </w:pPr>
      <w:r>
        <w:rPr>
          <w:rFonts w:hint="eastAsia" w:ascii="仿宋_GB2312" w:hAnsi="宋体" w:eastAsia="仿宋_GB2312" w:cs="Courier New"/>
          <w:sz w:val="32"/>
          <w:szCs w:val="32"/>
        </w:rPr>
        <w:t>六、用事业基金弥补收支差额：是指</w:t>
      </w:r>
      <w:bookmarkStart w:id="0" w:name="_GoBack"/>
      <w:bookmarkEnd w:id="0"/>
      <w:r>
        <w:rPr>
          <w:rFonts w:hint="eastAsia" w:ascii="仿宋_GB2312" w:hAnsi="宋体" w:eastAsia="仿宋_GB2312" w:cs="Courier New"/>
          <w:sz w:val="32"/>
          <w:szCs w:val="32"/>
        </w:rPr>
        <w:t>事业单位在当年的“财政拨款收入”、“事业收入”、“经营收入”和“其他收入”不足以安排当年支出的情况下，使用以前年度积累的事业基金（即事业单位以前各年度收支相抵后，按国家规定提取、用于弥补以后年度收支差额的基金）弥补当年收支缺口的资金。</w:t>
      </w:r>
    </w:p>
    <w:p>
      <w:pPr>
        <w:kinsoku w:val="0"/>
        <w:overflowPunct w:val="0"/>
        <w:autoSpaceDE w:val="0"/>
        <w:autoSpaceDN w:val="0"/>
        <w:adjustRightInd w:val="0"/>
        <w:snapToGrid w:val="0"/>
        <w:spacing w:line="360" w:lineRule="auto"/>
        <w:ind w:firstLine="640" w:firstLineChars="200"/>
        <w:rPr>
          <w:rFonts w:ascii="仿宋_GB2312" w:hAnsi="宋体" w:eastAsia="仿宋_GB2312" w:cs="Courier New"/>
          <w:sz w:val="32"/>
          <w:szCs w:val="32"/>
        </w:rPr>
      </w:pPr>
      <w:r>
        <w:rPr>
          <w:rFonts w:hint="eastAsia" w:ascii="仿宋_GB2312" w:hAnsi="宋体" w:eastAsia="仿宋_GB2312" w:cs="Courier New"/>
          <w:sz w:val="32"/>
          <w:szCs w:val="32"/>
        </w:rPr>
        <w:t>七、基本支出：是指为保障机构正常运转、完成日常工作任务所必需的开支，其内容包括人员经费和日常公用经费两部分。</w:t>
      </w:r>
    </w:p>
    <w:p>
      <w:pPr>
        <w:kinsoku w:val="0"/>
        <w:overflowPunct w:val="0"/>
        <w:autoSpaceDE w:val="0"/>
        <w:autoSpaceDN w:val="0"/>
        <w:adjustRightInd w:val="0"/>
        <w:snapToGrid w:val="0"/>
        <w:spacing w:line="360" w:lineRule="auto"/>
        <w:ind w:firstLine="640" w:firstLineChars="200"/>
        <w:rPr>
          <w:rFonts w:ascii="仿宋_GB2312" w:hAnsi="宋体" w:eastAsia="仿宋_GB2312" w:cs="Courier New"/>
          <w:sz w:val="32"/>
          <w:szCs w:val="32"/>
        </w:rPr>
      </w:pPr>
      <w:r>
        <w:rPr>
          <w:rFonts w:hint="eastAsia" w:ascii="仿宋_GB2312" w:hAnsi="宋体" w:eastAsia="仿宋_GB2312" w:cs="Courier New"/>
          <w:sz w:val="32"/>
          <w:szCs w:val="32"/>
        </w:rPr>
        <w:t>八、项目支出：是指在基本支出之外，为完成特定的行政工作任务或事业发展目标所发生的支出。</w:t>
      </w:r>
    </w:p>
    <w:p>
      <w:pPr>
        <w:kinsoku w:val="0"/>
        <w:overflowPunct w:val="0"/>
        <w:autoSpaceDE w:val="0"/>
        <w:autoSpaceDN w:val="0"/>
        <w:adjustRightInd w:val="0"/>
        <w:snapToGrid w:val="0"/>
        <w:spacing w:line="360" w:lineRule="auto"/>
        <w:ind w:firstLine="640" w:firstLineChars="200"/>
        <w:rPr>
          <w:rFonts w:hint="eastAsia" w:ascii="仿宋_GB2312" w:hAnsi="宋体" w:eastAsia="仿宋_GB2312" w:cs="Courier New"/>
          <w:sz w:val="32"/>
          <w:szCs w:val="32"/>
        </w:rPr>
      </w:pPr>
      <w:r>
        <w:rPr>
          <w:rFonts w:hint="eastAsia" w:ascii="仿宋_GB2312" w:hAnsi="宋体" w:eastAsia="仿宋_GB2312" w:cs="Courier New"/>
          <w:sz w:val="32"/>
          <w:szCs w:val="32"/>
        </w:rPr>
        <w:t>九、“三公”经费：是指纳入</w:t>
      </w:r>
      <w:r>
        <w:rPr>
          <w:rFonts w:hint="eastAsia" w:ascii="仿宋_GB2312" w:hAnsi="宋体" w:eastAsia="仿宋_GB2312" w:cs="Courier New"/>
          <w:sz w:val="32"/>
          <w:szCs w:val="32"/>
          <w:lang w:eastAsia="zh-CN"/>
        </w:rPr>
        <w:t>市</w:t>
      </w:r>
      <w:r>
        <w:rPr>
          <w:rFonts w:hint="eastAsia" w:ascii="仿宋_GB2312" w:hAnsi="宋体" w:eastAsia="仿宋_GB2312" w:cs="Courier New"/>
          <w:sz w:val="32"/>
          <w:szCs w:val="32"/>
        </w:rPr>
        <w:t>级财政预算管理，部门使用财政拨款安排的因公出国（境）费、公务用车购置及运行费和公务接待费。其中，因公出国（境）费反映单位公务出国（境）的住宿费、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kinsoku w:val="0"/>
        <w:overflowPunct w:val="0"/>
        <w:autoSpaceDE w:val="0"/>
        <w:autoSpaceDN w:val="0"/>
        <w:adjustRightInd w:val="0"/>
        <w:snapToGrid w:val="0"/>
        <w:spacing w:line="360" w:lineRule="auto"/>
        <w:ind w:firstLine="640" w:firstLineChars="200"/>
        <w:rPr>
          <w:rFonts w:hint="eastAsia" w:ascii="仿宋_GB2312" w:hAnsi="宋体" w:eastAsia="仿宋_GB2312" w:cs="Courier New"/>
          <w:sz w:val="32"/>
          <w:szCs w:val="32"/>
        </w:rPr>
      </w:pPr>
      <w:r>
        <w:rPr>
          <w:rFonts w:hint="eastAsia" w:ascii="仿宋_GB2312" w:hAnsi="宋体" w:eastAsia="仿宋_GB2312" w:cs="Courier New"/>
          <w:sz w:val="32"/>
          <w:szCs w:val="32"/>
        </w:rPr>
        <w:t>十、行政（事业）单位机构运转经费情况：是指为保障单位（包括</w:t>
      </w:r>
      <w:r>
        <w:rPr>
          <w:rFonts w:ascii="仿宋_GB2312" w:hAnsi="宋体" w:eastAsia="仿宋_GB2312" w:cs="Courier New"/>
          <w:sz w:val="32"/>
          <w:szCs w:val="32"/>
        </w:rPr>
        <w:t>行政单位和事业单位</w:t>
      </w:r>
      <w:r>
        <w:rPr>
          <w:rFonts w:hint="eastAsia" w:ascii="仿宋_GB2312" w:hAnsi="宋体" w:eastAsia="仿宋_GB2312" w:cs="Courier New"/>
          <w:sz w:val="32"/>
          <w:szCs w:val="32"/>
        </w:rPr>
        <w:t>）运行用于购买货物和服务的各项资金，包括办公及印刷费、邮电费、差旅费、会议费、福利费、日常维修费及一般设备购置费、办公用房水电费、办公用房取暖费、办公用房物业管理费、公务用车运行维护费以及其他费用。</w:t>
      </w:r>
    </w:p>
    <w:p>
      <w:pPr>
        <w:kinsoku w:val="0"/>
        <w:overflowPunct w:val="0"/>
        <w:autoSpaceDE w:val="0"/>
        <w:autoSpaceDN w:val="0"/>
        <w:adjustRightInd w:val="0"/>
        <w:snapToGrid w:val="0"/>
        <w:spacing w:line="360" w:lineRule="auto"/>
        <w:ind w:firstLine="640" w:firstLineChars="200"/>
        <w:rPr>
          <w:rFonts w:hint="eastAsia" w:ascii="仿宋_GB2312" w:hAnsi="宋体" w:eastAsia="仿宋_GB2312" w:cs="Courier New"/>
          <w:sz w:val="32"/>
          <w:szCs w:val="32"/>
        </w:rPr>
      </w:pPr>
    </w:p>
    <w:p>
      <w:pPr>
        <w:adjustRightInd w:val="0"/>
        <w:snapToGrid w:val="0"/>
        <w:spacing w:line="360" w:lineRule="auto"/>
        <w:rPr>
          <w:rFonts w:hint="eastAsia" w:ascii="黑体" w:hAnsi="黑体" w:eastAsia="黑体"/>
          <w:sz w:val="32"/>
          <w:szCs w:val="32"/>
          <w:lang w:eastAsia="zh-CN"/>
        </w:rPr>
      </w:pPr>
    </w:p>
    <w:p>
      <w:pPr>
        <w:adjustRightInd w:val="0"/>
        <w:snapToGrid w:val="0"/>
        <w:spacing w:line="360" w:lineRule="auto"/>
        <w:rPr>
          <w:rFonts w:hint="eastAsia" w:ascii="黑体" w:hAnsi="黑体" w:eastAsia="黑体"/>
          <w:sz w:val="32"/>
          <w:szCs w:val="32"/>
          <w:lang w:eastAsia="zh-CN"/>
        </w:rPr>
      </w:pPr>
    </w:p>
    <w:p>
      <w:pPr>
        <w:adjustRightInd w:val="0"/>
        <w:snapToGrid w:val="0"/>
        <w:spacing w:line="360" w:lineRule="auto"/>
        <w:rPr>
          <w:rFonts w:hint="eastAsia" w:ascii="黑体" w:hAnsi="黑体" w:eastAsia="黑体"/>
          <w:sz w:val="32"/>
          <w:szCs w:val="32"/>
          <w:lang w:eastAsia="zh-CN"/>
        </w:rPr>
      </w:pPr>
    </w:p>
    <w:p>
      <w:pPr>
        <w:adjustRightInd w:val="0"/>
        <w:snapToGrid w:val="0"/>
        <w:spacing w:line="360" w:lineRule="auto"/>
        <w:rPr>
          <w:rFonts w:hint="eastAsia" w:ascii="黑体" w:hAnsi="黑体" w:eastAsia="黑体"/>
          <w:sz w:val="32"/>
          <w:szCs w:val="32"/>
          <w:lang w:eastAsia="zh-CN"/>
        </w:rPr>
      </w:pPr>
    </w:p>
    <w:p>
      <w:pPr>
        <w:adjustRightInd w:val="0"/>
        <w:snapToGrid w:val="0"/>
        <w:spacing w:line="360" w:lineRule="auto"/>
        <w:rPr>
          <w:rFonts w:ascii="黑体" w:hAnsi="黑体" w:eastAsia="黑体"/>
          <w:sz w:val="32"/>
          <w:szCs w:val="32"/>
        </w:rPr>
      </w:pPr>
      <w:r>
        <w:rPr>
          <w:rFonts w:hint="eastAsia" w:ascii="黑体" w:hAnsi="黑体" w:eastAsia="黑体"/>
          <w:sz w:val="32"/>
          <w:szCs w:val="32"/>
        </w:rPr>
        <w:t>附件：</w:t>
      </w:r>
    </w:p>
    <w:p>
      <w:pPr>
        <w:adjustRightInd w:val="0"/>
        <w:snapToGrid w:val="0"/>
        <w:spacing w:line="360" w:lineRule="auto"/>
        <w:jc w:val="center"/>
        <w:rPr>
          <w:rFonts w:ascii="黑体" w:hAnsi="黑体" w:eastAsia="黑体"/>
          <w:sz w:val="32"/>
          <w:szCs w:val="32"/>
        </w:rPr>
      </w:pPr>
      <w:r>
        <w:rPr>
          <w:rFonts w:hint="eastAsia" w:ascii="黑体" w:hAnsi="黑体" w:eastAsia="黑体"/>
          <w:sz w:val="32"/>
          <w:szCs w:val="32"/>
          <w:lang w:eastAsia="zh-CN"/>
        </w:rPr>
        <w:t>新乡市粮食和物资储备局</w:t>
      </w:r>
      <w:r>
        <w:rPr>
          <w:rFonts w:hint="eastAsia" w:ascii="黑体" w:hAnsi="黑体" w:eastAsia="黑体"/>
          <w:sz w:val="32"/>
          <w:szCs w:val="32"/>
        </w:rPr>
        <w:t>202</w:t>
      </w:r>
      <w:r>
        <w:rPr>
          <w:rFonts w:ascii="黑体" w:hAnsi="黑体" w:eastAsia="黑体"/>
          <w:sz w:val="32"/>
          <w:szCs w:val="32"/>
        </w:rPr>
        <w:t>2</w:t>
      </w:r>
      <w:r>
        <w:rPr>
          <w:rFonts w:hint="eastAsia" w:ascii="黑体" w:hAnsi="黑体" w:eastAsia="黑体"/>
          <w:sz w:val="32"/>
          <w:szCs w:val="32"/>
        </w:rPr>
        <w:t>年</w:t>
      </w:r>
      <w:r>
        <w:rPr>
          <w:rFonts w:hint="eastAsia" w:ascii="黑体" w:hAnsi="黑体" w:eastAsia="黑体"/>
          <w:sz w:val="32"/>
          <w:szCs w:val="32"/>
          <w:lang w:eastAsia="zh-CN"/>
        </w:rPr>
        <w:t>度单位</w:t>
      </w:r>
      <w:r>
        <w:rPr>
          <w:rFonts w:hint="eastAsia" w:ascii="黑体" w:hAnsi="黑体" w:eastAsia="黑体"/>
          <w:sz w:val="32"/>
          <w:szCs w:val="32"/>
        </w:rPr>
        <w:t>预算表</w:t>
      </w:r>
    </w:p>
    <w:p>
      <w:pPr>
        <w:adjustRightInd w:val="0"/>
        <w:snapToGrid w:val="0"/>
        <w:spacing w:line="360" w:lineRule="auto"/>
        <w:ind w:left="0" w:leftChars="-400" w:hanging="840" w:hangingChars="400"/>
        <w:rPr>
          <w:rFonts w:ascii="黑体" w:hAnsi="黑体" w:eastAsia="黑体"/>
          <w:sz w:val="32"/>
          <w:szCs w:val="32"/>
        </w:rPr>
      </w:pPr>
      <w:r>
        <w:drawing>
          <wp:inline distT="0" distB="0" distL="114300" distR="114300">
            <wp:extent cx="6203950" cy="7910195"/>
            <wp:effectExtent l="0" t="0" r="635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203950" cy="7910195"/>
                    </a:xfrm>
                    <a:prstGeom prst="rect">
                      <a:avLst/>
                    </a:prstGeom>
                    <a:noFill/>
                    <a:ln>
                      <a:noFill/>
                    </a:ln>
                  </pic:spPr>
                </pic:pic>
              </a:graphicData>
            </a:graphic>
          </wp:inline>
        </w:drawing>
      </w:r>
    </w:p>
    <w:p>
      <w:pPr>
        <w:adjustRightInd w:val="0"/>
        <w:snapToGrid w:val="0"/>
        <w:spacing w:line="360" w:lineRule="auto"/>
        <w:ind w:firstLine="640" w:firstLineChars="200"/>
        <w:rPr>
          <w:rFonts w:ascii="黑体" w:hAnsi="黑体" w:eastAsia="黑体"/>
          <w:sz w:val="32"/>
          <w:szCs w:val="32"/>
        </w:rPr>
        <w:sectPr>
          <w:pgSz w:w="11906" w:h="16838"/>
          <w:pgMar w:top="1440" w:right="1800" w:bottom="1440" w:left="1800" w:header="851" w:footer="992" w:gutter="0"/>
          <w:cols w:space="720" w:num="1"/>
          <w:docGrid w:type="lines" w:linePitch="312" w:charSpace="0"/>
        </w:sectPr>
      </w:pPr>
    </w:p>
    <w:p>
      <w:pPr>
        <w:adjustRightInd w:val="0"/>
        <w:snapToGrid w:val="0"/>
        <w:spacing w:line="360" w:lineRule="auto"/>
        <w:ind w:left="0" w:leftChars="-295" w:hanging="619" w:hangingChars="295"/>
        <w:rPr>
          <w:rFonts w:ascii="黑体" w:hAnsi="黑体" w:eastAsia="黑体"/>
          <w:sz w:val="32"/>
          <w:szCs w:val="32"/>
        </w:rPr>
      </w:pPr>
      <w:r>
        <w:drawing>
          <wp:inline distT="0" distB="0" distL="114300" distR="114300">
            <wp:extent cx="9904730" cy="1591945"/>
            <wp:effectExtent l="0" t="0" r="12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9904730" cy="1591945"/>
                    </a:xfrm>
                    <a:prstGeom prst="rect">
                      <a:avLst/>
                    </a:prstGeom>
                    <a:noFill/>
                    <a:ln>
                      <a:noFill/>
                    </a:ln>
                  </pic:spPr>
                </pic:pic>
              </a:graphicData>
            </a:graphic>
          </wp:inline>
        </w:drawing>
      </w:r>
    </w:p>
    <w:p>
      <w:pPr>
        <w:adjustRightInd w:val="0"/>
        <w:snapToGrid w:val="0"/>
        <w:spacing w:line="360" w:lineRule="auto"/>
        <w:rPr>
          <w:rFonts w:hint="eastAsia" w:ascii="黑体" w:hAnsi="黑体" w:eastAsia="黑体"/>
          <w:sz w:val="32"/>
          <w:szCs w:val="32"/>
        </w:rPr>
      </w:pPr>
    </w:p>
    <w:p/>
    <w:p/>
    <w:p/>
    <w:p/>
    <w:p/>
    <w:p/>
    <w:p/>
    <w:p/>
    <w:p/>
    <w:p/>
    <w:p/>
    <w:p/>
    <w:p/>
    <w:p/>
    <w:p/>
    <w:p/>
    <w:p/>
    <w:p>
      <w:pPr>
        <w:ind w:left="0" w:leftChars="-200" w:hanging="420" w:hangingChars="200"/>
      </w:pPr>
      <w:r>
        <w:drawing>
          <wp:inline distT="0" distB="0" distL="114300" distR="114300">
            <wp:extent cx="9431020" cy="4783455"/>
            <wp:effectExtent l="0" t="0" r="1778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9431020" cy="4783455"/>
                    </a:xfrm>
                    <a:prstGeom prst="rect">
                      <a:avLst/>
                    </a:prstGeom>
                    <a:noFill/>
                    <a:ln>
                      <a:noFill/>
                    </a:ln>
                  </pic:spPr>
                </pic:pic>
              </a:graphicData>
            </a:graphic>
          </wp:inline>
        </w:drawing>
      </w:r>
    </w:p>
    <w:p>
      <w:pPr>
        <w:ind w:left="0" w:leftChars="0" w:firstLine="1260" w:firstLineChars="600"/>
        <w:sectPr>
          <w:pgSz w:w="16838" w:h="11906" w:orient="landscape"/>
          <w:pgMar w:top="1803" w:right="1440" w:bottom="1803" w:left="1440" w:header="851" w:footer="992" w:gutter="0"/>
          <w:paperSrc/>
          <w:cols w:space="0" w:num="1"/>
          <w:rtlGutter w:val="0"/>
          <w:docGrid w:type="lines" w:linePitch="319" w:charSpace="0"/>
        </w:sectPr>
      </w:pPr>
    </w:p>
    <w:p>
      <w:pPr>
        <w:ind w:left="0" w:leftChars="-600" w:hanging="1260" w:hangingChars="600"/>
        <w:sectPr>
          <w:pgSz w:w="11906" w:h="16838"/>
          <w:pgMar w:top="1440" w:right="1803" w:bottom="1440" w:left="1803" w:header="851" w:footer="992" w:gutter="0"/>
          <w:paperSrc/>
          <w:cols w:space="0" w:num="1"/>
          <w:rtlGutter w:val="0"/>
          <w:docGrid w:type="lines" w:linePitch="319" w:charSpace="0"/>
        </w:sectPr>
      </w:pPr>
      <w:r>
        <w:drawing>
          <wp:inline distT="0" distB="0" distL="114300" distR="114300">
            <wp:extent cx="6871335" cy="6253480"/>
            <wp:effectExtent l="0" t="0" r="5715"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6871335" cy="6253480"/>
                    </a:xfrm>
                    <a:prstGeom prst="rect">
                      <a:avLst/>
                    </a:prstGeom>
                    <a:noFill/>
                    <a:ln>
                      <a:noFill/>
                    </a:ln>
                  </pic:spPr>
                </pic:pic>
              </a:graphicData>
            </a:graphic>
          </wp:inline>
        </w:drawing>
      </w:r>
    </w:p>
    <w:p>
      <w:pPr>
        <w:ind w:left="0" w:leftChars="-295" w:hanging="619" w:hangingChars="295"/>
        <w:sectPr>
          <w:pgSz w:w="16838" w:h="11906" w:orient="landscape"/>
          <w:pgMar w:top="1803" w:right="1440" w:bottom="1803" w:left="1440" w:header="851" w:footer="992" w:gutter="0"/>
          <w:paperSrc/>
          <w:cols w:space="0" w:num="1"/>
          <w:rtlGutter w:val="0"/>
          <w:docGrid w:type="lines" w:linePitch="319" w:charSpace="0"/>
        </w:sectPr>
      </w:pPr>
      <w:r>
        <w:drawing>
          <wp:inline distT="0" distB="0" distL="114300" distR="114300">
            <wp:extent cx="9756775" cy="5052695"/>
            <wp:effectExtent l="0" t="0" r="15875" b="1460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9756775" cy="5052695"/>
                    </a:xfrm>
                    <a:prstGeom prst="rect">
                      <a:avLst/>
                    </a:prstGeom>
                    <a:noFill/>
                    <a:ln>
                      <a:noFill/>
                    </a:ln>
                  </pic:spPr>
                </pic:pic>
              </a:graphicData>
            </a:graphic>
          </wp:inline>
        </w:drawing>
      </w:r>
    </w:p>
    <w:p>
      <w:pPr>
        <w:ind w:left="0" w:leftChars="-495" w:hanging="1039" w:hangingChars="495"/>
        <w:sectPr>
          <w:pgSz w:w="11906" w:h="16838"/>
          <w:pgMar w:top="1440" w:right="1803" w:bottom="1440" w:left="1803" w:header="851" w:footer="992" w:gutter="0"/>
          <w:paperSrc/>
          <w:cols w:space="0" w:num="1"/>
          <w:rtlGutter w:val="0"/>
          <w:docGrid w:type="lines" w:linePitch="325" w:charSpace="0"/>
        </w:sectPr>
      </w:pPr>
      <w:r>
        <w:drawing>
          <wp:inline distT="0" distB="0" distL="114300" distR="114300">
            <wp:extent cx="6712585" cy="5904230"/>
            <wp:effectExtent l="0" t="0" r="12065" b="12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6712585" cy="5904230"/>
                    </a:xfrm>
                    <a:prstGeom prst="rect">
                      <a:avLst/>
                    </a:prstGeom>
                    <a:noFill/>
                    <a:ln>
                      <a:noFill/>
                    </a:ln>
                  </pic:spPr>
                </pic:pic>
              </a:graphicData>
            </a:graphic>
          </wp:inline>
        </w:drawing>
      </w:r>
    </w:p>
    <w:p>
      <w:pPr>
        <w:ind w:left="0" w:leftChars="-600" w:hanging="1260" w:hangingChars="600"/>
      </w:pPr>
      <w:r>
        <w:drawing>
          <wp:inline distT="0" distB="0" distL="114300" distR="114300">
            <wp:extent cx="6851015" cy="6860540"/>
            <wp:effectExtent l="0" t="0" r="6985" b="1651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6851015" cy="6860540"/>
                    </a:xfrm>
                    <a:prstGeom prst="rect">
                      <a:avLst/>
                    </a:prstGeom>
                    <a:noFill/>
                    <a:ln>
                      <a:noFill/>
                    </a:ln>
                  </pic:spPr>
                </pic:pic>
              </a:graphicData>
            </a:graphic>
          </wp:inline>
        </w:drawing>
      </w:r>
    </w:p>
    <w:p/>
    <w:p>
      <w:pPr>
        <w:ind w:left="0" w:leftChars="-400" w:hanging="840" w:hangingChars="400"/>
      </w:pPr>
    </w:p>
    <w:p/>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pPr>
    </w:p>
    <w:p>
      <w:pPr>
        <w:rPr>
          <w:rFonts w:hint="eastAsia" w:eastAsia="宋体"/>
          <w:lang w:eastAsia="zh-CN"/>
        </w:rPr>
        <w:sectPr>
          <w:pgSz w:w="11906" w:h="16838"/>
          <w:pgMar w:top="1440" w:right="1803" w:bottom="1440" w:left="1803" w:header="851" w:footer="992" w:gutter="0"/>
          <w:paperSrc/>
          <w:cols w:space="0" w:num="1"/>
          <w:rtlGutter w:val="0"/>
          <w:docGrid w:type="lines" w:linePitch="325" w:charSpace="0"/>
        </w:sectPr>
      </w:pPr>
    </w:p>
    <w:p>
      <w:pPr>
        <w:rPr>
          <w:rFonts w:hint="eastAsia" w:eastAsia="宋体"/>
          <w:lang w:eastAsia="zh-CN"/>
        </w:rPr>
      </w:pPr>
    </w:p>
    <w:p>
      <w:pPr>
        <w:ind w:left="0" w:leftChars="-95" w:hanging="199" w:hangingChars="95"/>
        <w:sectPr>
          <w:pgSz w:w="16838" w:h="11906" w:orient="landscape"/>
          <w:pgMar w:top="1803" w:right="1440" w:bottom="1803" w:left="1440" w:header="851" w:footer="992" w:gutter="0"/>
          <w:paperSrc/>
          <w:cols w:space="0" w:num="1"/>
          <w:rtlGutter w:val="0"/>
          <w:docGrid w:type="lines" w:linePitch="332" w:charSpace="0"/>
        </w:sectPr>
      </w:pPr>
      <w:r>
        <w:drawing>
          <wp:inline distT="0" distB="0" distL="114300" distR="114300">
            <wp:extent cx="9317990" cy="2666365"/>
            <wp:effectExtent l="0" t="0" r="16510" b="63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9317990" cy="2666365"/>
                    </a:xfrm>
                    <a:prstGeom prst="rect">
                      <a:avLst/>
                    </a:prstGeom>
                    <a:noFill/>
                    <a:ln>
                      <a:noFill/>
                    </a:ln>
                  </pic:spPr>
                </pic:pic>
              </a:graphicData>
            </a:graphic>
          </wp:inline>
        </w:drawing>
      </w:r>
    </w:p>
    <w:p>
      <w:r>
        <w:drawing>
          <wp:inline distT="0" distB="0" distL="114300" distR="114300">
            <wp:extent cx="9149715" cy="2693670"/>
            <wp:effectExtent l="0" t="0" r="1333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9149715" cy="2693670"/>
                    </a:xfrm>
                    <a:prstGeom prst="rect">
                      <a:avLst/>
                    </a:prstGeom>
                    <a:noFill/>
                    <a:ln>
                      <a:noFill/>
                    </a:ln>
                  </pic:spPr>
                </pic:pic>
              </a:graphicData>
            </a:graphic>
          </wp:inline>
        </w:drawing>
      </w:r>
    </w:p>
    <w:p/>
    <w:p/>
    <w:p/>
    <w:p/>
    <w:p/>
    <w:p/>
    <w:p/>
    <w:p/>
    <w:p/>
    <w:p/>
    <w:p/>
    <w:p/>
    <w:p>
      <w:pPr>
        <w:ind w:left="0" w:leftChars="-95" w:hanging="199" w:hangingChars="95"/>
      </w:pPr>
      <w:r>
        <w:drawing>
          <wp:inline distT="0" distB="0" distL="114300" distR="114300">
            <wp:extent cx="9290050" cy="5520690"/>
            <wp:effectExtent l="0" t="0" r="6350" b="381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9290050" cy="5520690"/>
                    </a:xfrm>
                    <a:prstGeom prst="rect">
                      <a:avLst/>
                    </a:prstGeom>
                    <a:noFill/>
                    <a:ln>
                      <a:noFill/>
                    </a:ln>
                  </pic:spPr>
                </pic:pic>
              </a:graphicData>
            </a:graphic>
          </wp:inline>
        </w:drawing>
      </w:r>
    </w:p>
    <w:p>
      <w:pPr>
        <w:ind w:left="0" w:leftChars="-200" w:hanging="420" w:hangingChars="200"/>
        <w:rPr>
          <w:rFonts w:hint="default"/>
          <w:lang w:val="en" w:eastAsia="zh-CN"/>
        </w:rPr>
      </w:pPr>
      <w:r>
        <w:drawing>
          <wp:inline distT="0" distB="0" distL="114300" distR="114300">
            <wp:extent cx="9509760" cy="5429885"/>
            <wp:effectExtent l="0" t="0" r="15240" b="1841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9509760" cy="5429885"/>
                    </a:xfrm>
                    <a:prstGeom prst="rect">
                      <a:avLst/>
                    </a:prstGeom>
                    <a:noFill/>
                    <a:ln>
                      <a:noFill/>
                    </a:ln>
                  </pic:spPr>
                </pic:pic>
              </a:graphicData>
            </a:graphic>
          </wp:inline>
        </w:drawing>
      </w:r>
    </w:p>
    <w:sectPr>
      <w:pgSz w:w="16838" w:h="11906" w:orient="landscape"/>
      <w:pgMar w:top="1803" w:right="1440" w:bottom="1803" w:left="1440" w:header="851" w:footer="992" w:gutter="0"/>
      <w:paperSrc/>
      <w:cols w:space="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ESI黑体-GB2312">
    <w:altName w:val="黑体"/>
    <w:panose1 w:val="02000500000000000000"/>
    <w:charset w:val="86"/>
    <w:family w:val="auto"/>
    <w:pitch w:val="default"/>
    <w:sig w:usb0="00000000" w:usb1="00000000" w:usb2="00000012"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9E07B1"/>
    <w:multiLevelType w:val="singleLevel"/>
    <w:tmpl w:val="2E9E07B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liNzJiY2Y3N2RlNmRlZTE5NTgzNTliYTg2MzlhNGEifQ=="/>
  </w:docVars>
  <w:rsids>
    <w:rsidRoot w:val="BDFA7770"/>
    <w:rsid w:val="00F036C9"/>
    <w:rsid w:val="075464C7"/>
    <w:rsid w:val="07F63E30"/>
    <w:rsid w:val="08660909"/>
    <w:rsid w:val="0B856F68"/>
    <w:rsid w:val="10B7338E"/>
    <w:rsid w:val="15703208"/>
    <w:rsid w:val="16F72599"/>
    <w:rsid w:val="1F73C0F0"/>
    <w:rsid w:val="25164F31"/>
    <w:rsid w:val="2BB050F9"/>
    <w:rsid w:val="2F76779B"/>
    <w:rsid w:val="3398166E"/>
    <w:rsid w:val="33DF28D0"/>
    <w:rsid w:val="33F7C330"/>
    <w:rsid w:val="375D4934"/>
    <w:rsid w:val="403B1563"/>
    <w:rsid w:val="431E2B3C"/>
    <w:rsid w:val="4745445A"/>
    <w:rsid w:val="47FBD817"/>
    <w:rsid w:val="589F0489"/>
    <w:rsid w:val="58F5162C"/>
    <w:rsid w:val="5DBF7C40"/>
    <w:rsid w:val="5EC7F878"/>
    <w:rsid w:val="5FCE05B0"/>
    <w:rsid w:val="63A80DB4"/>
    <w:rsid w:val="67184229"/>
    <w:rsid w:val="679C6C08"/>
    <w:rsid w:val="67FFCF5D"/>
    <w:rsid w:val="684B23DC"/>
    <w:rsid w:val="698F482E"/>
    <w:rsid w:val="6F234FAE"/>
    <w:rsid w:val="6FF98142"/>
    <w:rsid w:val="6FFB5317"/>
    <w:rsid w:val="6FFFD8D3"/>
    <w:rsid w:val="75D7B048"/>
    <w:rsid w:val="779E19B8"/>
    <w:rsid w:val="7B4B5118"/>
    <w:rsid w:val="7B7D88CD"/>
    <w:rsid w:val="7B7EA36C"/>
    <w:rsid w:val="7BC63DFB"/>
    <w:rsid w:val="7BEED1B4"/>
    <w:rsid w:val="7C3EDF6F"/>
    <w:rsid w:val="7E7DD803"/>
    <w:rsid w:val="7F20A323"/>
    <w:rsid w:val="7F3E822A"/>
    <w:rsid w:val="7F548D26"/>
    <w:rsid w:val="7FBB7E8A"/>
    <w:rsid w:val="7FBFEA7A"/>
    <w:rsid w:val="7FDFAE7E"/>
    <w:rsid w:val="94D8C335"/>
    <w:rsid w:val="B7FAA169"/>
    <w:rsid w:val="B9FBD57A"/>
    <w:rsid w:val="BDFA7770"/>
    <w:rsid w:val="BEFE7A5B"/>
    <w:rsid w:val="CDFF129C"/>
    <w:rsid w:val="E2A316DC"/>
    <w:rsid w:val="F3672FA7"/>
    <w:rsid w:val="F3F87DBB"/>
    <w:rsid w:val="F7BF85A3"/>
    <w:rsid w:val="F7FF9CC5"/>
    <w:rsid w:val="FEE7764C"/>
    <w:rsid w:val="FF6D92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3793</Words>
  <Characters>4057</Characters>
  <Lines>0</Lines>
  <Paragraphs>0</Paragraphs>
  <TotalTime>352</TotalTime>
  <ScaleCrop>false</ScaleCrop>
  <LinksUpToDate>false</LinksUpToDate>
  <CharactersWithSpaces>4075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2023-04-27T02:12:00Z</dcterms:created>
  <dc:creator>administrator</dc:creator>
  <cp:lastModifiedBy>user</cp:lastModifiedBy>
  <cp:lastPrinted>2023-04-28T04:00:45Z</cp:lastPrinted>
  <dcterms:modified xsi:type="dcterms:W3CDTF">2023-04-28T09:54:29Z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C1F68274610B43DB89382A75D6F5B492</vt:lpwstr>
  </property>
</Properties>
</file>